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4BEEB746" w14:textId="72ADDB30" w:rsidR="00BB0033" w:rsidRPr="00FC50A6" w:rsidRDefault="00BB0033" w:rsidP="00BB003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>
        <w:rPr>
          <w:rFonts w:cs="Arial"/>
          <w:b/>
          <w:noProof/>
          <w:sz w:val="24"/>
          <w:szCs w:val="24"/>
          <w:lang w:val="en-US" w:eastAsia="ja-JP"/>
        </w:rPr>
        <w:t>-bis-e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CA4918" w:rsidRPr="00CA4918">
        <w:rPr>
          <w:rFonts w:cs="Arial"/>
          <w:b/>
          <w:i/>
          <w:noProof/>
          <w:sz w:val="24"/>
          <w:szCs w:val="24"/>
          <w:lang w:val="en-US"/>
        </w:rPr>
        <w:t>R4-2215933</w:t>
      </w:r>
    </w:p>
    <w:p w14:paraId="1FF9C682" w14:textId="77777777" w:rsidR="00BB0033" w:rsidRPr="00FC50A6" w:rsidRDefault="00BB0033" w:rsidP="00BB0033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10</w:t>
      </w:r>
      <w:r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>
        <w:rPr>
          <w:rFonts w:cs="Arial"/>
          <w:b/>
          <w:noProof/>
          <w:sz w:val="24"/>
          <w:lang w:val="en-US"/>
        </w:rPr>
        <w:t>19</w:t>
      </w:r>
      <w:r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</w:t>
      </w:r>
      <w:r>
        <w:rPr>
          <w:rFonts w:cs="Arial"/>
          <w:b/>
          <w:noProof/>
          <w:sz w:val="24"/>
          <w:lang w:val="en-US"/>
        </w:rPr>
        <w:t>October</w:t>
      </w:r>
      <w:r w:rsidRPr="00FC50A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A54C5F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7C577DC3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A4C2F">
        <w:rPr>
          <w:sz w:val="24"/>
          <w:szCs w:val="24"/>
        </w:rPr>
        <w:t xml:space="preserve">Issues on </w:t>
      </w:r>
      <w:r w:rsidR="00F8265A">
        <w:rPr>
          <w:sz w:val="24"/>
          <w:szCs w:val="24"/>
        </w:rPr>
        <w:t>intra-bandENDC-Support</w:t>
      </w:r>
    </w:p>
    <w:p w14:paraId="632E5E14" w14:textId="5D3311E3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967ED7">
        <w:rPr>
          <w:sz w:val="24"/>
          <w:szCs w:val="24"/>
        </w:rPr>
        <w:t>9.3</w:t>
      </w:r>
    </w:p>
    <w:p w14:paraId="04DC1DD4" w14:textId="5239864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F8265A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3E9E7444" w14:textId="1B04FC93" w:rsidR="00593AD0" w:rsidRDefault="00593AD0" w:rsidP="00885C3A">
      <w:r>
        <w:t>RAN</w:t>
      </w:r>
      <w:r w:rsidR="003A4C2F">
        <w:t>#97e</w:t>
      </w:r>
      <w:r>
        <w:t xml:space="preserve"> tasks RAN4 and RAN2 to have more discussion in Q4</w:t>
      </w:r>
      <w:r w:rsidR="003A4C2F">
        <w:t>/2022</w:t>
      </w:r>
      <w:r>
        <w:t xml:space="preserve"> to check the inconsistency issue described in RP-222646</w:t>
      </w:r>
      <w:r w:rsidR="0074224E">
        <w:t xml:space="preserve"> [12,13]</w:t>
      </w:r>
      <w:r>
        <w:t xml:space="preserve">. At least, two issues should be addressed. </w:t>
      </w:r>
    </w:p>
    <w:p w14:paraId="11680C65" w14:textId="64A7846C" w:rsidR="00593AD0" w:rsidRDefault="00593AD0" w:rsidP="00593AD0">
      <w:pPr>
        <w:pStyle w:val="ListParagraph"/>
        <w:numPr>
          <w:ilvl w:val="0"/>
          <w:numId w:val="26"/>
        </w:numPr>
      </w:pPr>
      <w:r>
        <w:t xml:space="preserve">Whether configurations in Case 3 and Case 4 are valid from RAN4 and RAN2 point of view respectively. </w:t>
      </w:r>
    </w:p>
    <w:p w14:paraId="67669E4B" w14:textId="6A3629A6" w:rsidR="00593AD0" w:rsidRPr="00F66D33" w:rsidRDefault="00593AD0" w:rsidP="00593AD0">
      <w:pPr>
        <w:pStyle w:val="ListParagraph"/>
        <w:numPr>
          <w:ilvl w:val="0"/>
          <w:numId w:val="26"/>
        </w:numPr>
        <w:rPr>
          <w:rFonts w:eastAsia="ＭＳ Ｐゴシック"/>
          <w:i/>
          <w:iCs/>
        </w:rPr>
      </w:pPr>
      <w:r>
        <w:t>In the case of configuration in Case 3 and/or in case of configuration in Case 4 are(is) confirmed as valid, whether a solution is necessary in RAN2 to address the ambiguity issue for configurations on some intra-band EN-DC band combinations with more than 2 carriers from Rel-15.</w:t>
      </w:r>
    </w:p>
    <w:p w14:paraId="342727AA" w14:textId="77777777" w:rsidR="003A4C2F" w:rsidRDefault="003A4C2F" w:rsidP="003A4C2F">
      <w:r>
        <w:t>In TS 36.306, a UE capability on intraBandENDC-Support is defined in the following.</w:t>
      </w:r>
    </w:p>
    <w:p w14:paraId="5D2973F5" w14:textId="77777777" w:rsidR="003A4C2F" w:rsidRDefault="003A4C2F" w:rsidP="00811C1A">
      <w:pPr>
        <w:pStyle w:val="TAL"/>
        <w:ind w:left="284"/>
        <w:rPr>
          <w:b/>
          <w:bCs/>
          <w:i/>
          <w:iCs/>
          <w:highlight w:val="lightGray"/>
        </w:rPr>
      </w:pPr>
      <w:r>
        <w:rPr>
          <w:b/>
          <w:bCs/>
          <w:i/>
          <w:iCs/>
          <w:highlight w:val="lightGray"/>
        </w:rPr>
        <w:t>intraBandENDC-Support</w:t>
      </w:r>
    </w:p>
    <w:p w14:paraId="1A526EA0" w14:textId="5076B754" w:rsidR="003A4C2F" w:rsidRDefault="003A4C2F" w:rsidP="00811C1A">
      <w:pPr>
        <w:pStyle w:val="TAL"/>
        <w:ind w:left="284"/>
        <w:rPr>
          <w:highlight w:val="lightGray"/>
        </w:rPr>
      </w:pPr>
      <w:r>
        <w:rPr>
          <w:highlight w:val="lightGray"/>
        </w:rPr>
        <w:t>Indicates whether the UE supports intra-band (NG)EN-DC with only non-contiguous spectrum, or with both contiguous and non-contiguous spectrum for the (NG)EN-DC combination as specified in TS 38.101-3.</w:t>
      </w:r>
    </w:p>
    <w:p w14:paraId="676AA3D3" w14:textId="77777777" w:rsidR="003A4C2F" w:rsidRDefault="003A4C2F" w:rsidP="00811C1A">
      <w:pPr>
        <w:ind w:left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highlight w:val="lightGray"/>
        </w:rPr>
        <w:t>If the UE does not include this field for an intra-band (NG)EN-DC combination the UE only supports the contiguous spectrum for the intra-band (NG)EN-DC combination.</w:t>
      </w:r>
    </w:p>
    <w:p w14:paraId="2010F076" w14:textId="79EBD815" w:rsidR="003A4C2F" w:rsidRDefault="003A4C2F" w:rsidP="003A4C2F">
      <w:pPr>
        <w:rPr>
          <w:lang w:val="en-US"/>
        </w:rPr>
      </w:pPr>
      <w:r>
        <w:t>This UE capability</w:t>
      </w:r>
      <w:r w:rsidR="00811C1A">
        <w:t xml:space="preserve"> per BC (band combination)</w:t>
      </w:r>
      <w:r>
        <w:t xml:space="preserve"> was first introduced </w:t>
      </w:r>
      <w:r w:rsidR="00890017">
        <w:t>t</w:t>
      </w:r>
      <w:r>
        <w:t>o distinguish whether UE supports either DC_(n)41AA and DC_41A_n41A, or both, when the EN-DC band combination of 41 and n41 is signalled based on LS [1]</w:t>
      </w:r>
      <w:r w:rsidR="00811C1A">
        <w:t xml:space="preserve"> and CR [2,3]</w:t>
      </w:r>
      <w:r>
        <w:t>.</w:t>
      </w:r>
      <w:r w:rsidR="00890017">
        <w:t xml:space="preserve"> The </w:t>
      </w:r>
      <w:r w:rsidR="00811C1A">
        <w:t xml:space="preserve">initial </w:t>
      </w:r>
      <w:r w:rsidR="00890017">
        <w:t>case stud</w:t>
      </w:r>
      <w:r w:rsidR="00811C1A">
        <w:t>y</w:t>
      </w:r>
      <w:r w:rsidR="00890017">
        <w:t xml:space="preserve"> was for two carriers only. </w:t>
      </w:r>
      <w:r>
        <w:t>The above definition is not clear enough what contiguous spectrum or non-contiguous spectrum means</w:t>
      </w:r>
      <w:r w:rsidR="00890017">
        <w:t xml:space="preserve"> for more than 2 carriers, whether if spectrum is about all the carriers or just about two carriers between E-UTRA and NR</w:t>
      </w:r>
      <w:r>
        <w:t xml:space="preserve">. </w:t>
      </w:r>
      <w:r w:rsidR="00890017">
        <w:t>This</w:t>
      </w:r>
      <w:r>
        <w:t xml:space="preserve"> issue </w:t>
      </w:r>
      <w:r w:rsidR="00890017">
        <w:t>has been</w:t>
      </w:r>
      <w:r>
        <w:t xml:space="preserve"> discussed </w:t>
      </w:r>
      <w:r w:rsidR="00890017">
        <w:t>since RAN4#97e [4-</w:t>
      </w:r>
      <w:r w:rsidR="008F05E4">
        <w:t>7,9</w:t>
      </w:r>
      <w:r w:rsidR="00890017">
        <w:t xml:space="preserve">] and </w:t>
      </w:r>
      <w:r>
        <w:t>RAN#91e [</w:t>
      </w:r>
      <w:r w:rsidR="008F05E4">
        <w:t>8</w:t>
      </w:r>
      <w:r>
        <w:t>]</w:t>
      </w:r>
      <w:r w:rsidR="00811C1A">
        <w:t xml:space="preserve"> without conclusion</w:t>
      </w:r>
      <w:r>
        <w:t>.</w:t>
      </w:r>
      <w:r w:rsidR="00890017">
        <w:t xml:space="preserve"> </w:t>
      </w:r>
    </w:p>
    <w:p w14:paraId="02669322" w14:textId="3B67ECC3" w:rsidR="003A4C2F" w:rsidRPr="003A4C2F" w:rsidRDefault="00811C1A" w:rsidP="00F66D33">
      <w:pPr>
        <w:rPr>
          <w:rFonts w:eastAsia="ＭＳ Ｐゴシック"/>
          <w:i/>
          <w:iCs/>
          <w:lang w:val="en-US"/>
        </w:rPr>
      </w:pPr>
      <w:r>
        <w:t>There has been a claim that those Case 3 and Case 4 combinations are not aligned with the fallback principle in T</w:t>
      </w:r>
      <w:r w:rsidR="008F05E4">
        <w:t>S</w:t>
      </w:r>
      <w:r>
        <w:t xml:space="preserve"> 36.306 in the following</w:t>
      </w:r>
      <w:r w:rsidR="008F05E4">
        <w:t xml:space="preserve"> and therefore they are invalid configurations.</w:t>
      </w:r>
    </w:p>
    <w:p w14:paraId="7FD64680" w14:textId="11BF679A" w:rsidR="00F66D33" w:rsidRPr="008F05E4" w:rsidRDefault="00F66D33" w:rsidP="008F05E4">
      <w:pPr>
        <w:ind w:left="284"/>
        <w:rPr>
          <w:lang w:eastAsia="zh-CN"/>
        </w:rPr>
      </w:pPr>
      <w:r w:rsidRPr="007D1E1D">
        <w:rPr>
          <w:b/>
          <w:lang w:eastAsia="zh-CN"/>
        </w:rPr>
        <w:t>Fallback band combination:</w:t>
      </w:r>
      <w:r w:rsidRPr="007D1E1D">
        <w:rPr>
          <w:lang w:eastAsia="zh-CN"/>
        </w:rPr>
        <w:t xml:space="preserve"> A Uu band combination that would result from another Uu band combination </w:t>
      </w:r>
      <w:r w:rsidRPr="007D1E1D">
        <w:t xml:space="preserve">(parent band combination) </w:t>
      </w:r>
      <w:r w:rsidRPr="007D1E1D">
        <w:rPr>
          <w:lang w:eastAsia="zh-CN"/>
        </w:rPr>
        <w:t>by releasing at least one SCell or uplink configuration of SCell, or SCG, or SUL. A PC5 band combination that would result from another PC5 band combination (parent band combination) by releasing at least one sidelink carrier.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68301C53" w14:textId="06491FEB" w:rsidR="002A2F73" w:rsidRDefault="002A2F73" w:rsidP="002A2F73">
      <w:pPr>
        <w:pStyle w:val="Heading1"/>
      </w:pPr>
      <w:r>
        <w:t>Discussion</w:t>
      </w:r>
    </w:p>
    <w:p w14:paraId="1C8397B4" w14:textId="77777777" w:rsidR="008F05E4" w:rsidRDefault="008F05E4" w:rsidP="00812CC2">
      <w:r>
        <w:t xml:space="preserve">Ambiguous </w:t>
      </w:r>
      <w:r w:rsidR="00812CC2">
        <w:t xml:space="preserve">EN-DC </w:t>
      </w:r>
      <w:r w:rsidR="00811C1A">
        <w:t>configurations</w:t>
      </w:r>
      <w:r w:rsidR="00812CC2">
        <w:t xml:space="preserve"> in TS 38.101-3</w:t>
      </w:r>
      <w:r w:rsidR="00811C1A">
        <w:t xml:space="preserve"> (Rel-17), which are categorized as Case 3 and Case 4 in RAN4 discussion</w:t>
      </w:r>
      <w:r>
        <w:t>, are listed below</w:t>
      </w:r>
      <w:r w:rsidR="00DE33F0">
        <w:t xml:space="preserve">. </w:t>
      </w:r>
    </w:p>
    <w:p w14:paraId="74280C94" w14:textId="1AB77C7D" w:rsidR="00811C1A" w:rsidRDefault="00811C1A" w:rsidP="00812CC2">
      <w:r>
        <w:t>(Note that Case 1 and Case 2 are contiguous</w:t>
      </w:r>
      <w:r w:rsidR="008F05E4">
        <w:t xml:space="preserve"> or </w:t>
      </w:r>
      <w:r>
        <w:t>non-contiguous only and hence do not need further clarifications</w:t>
      </w:r>
      <w:r w:rsidR="008F05E4">
        <w:t>.</w:t>
      </w:r>
      <w:r>
        <w:t xml:space="preserve">) </w:t>
      </w:r>
    </w:p>
    <w:p w14:paraId="6C168F06" w14:textId="77777777" w:rsidR="00811C1A" w:rsidRPr="00B56A4D" w:rsidRDefault="00811C1A" w:rsidP="00811C1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Microsoft YaHei"/>
          <w:color w:val="000000"/>
          <w:sz w:val="22"/>
          <w:lang w:eastAsia="ko-KR"/>
        </w:rPr>
      </w:pPr>
      <w:r w:rsidRPr="00B56A4D">
        <w:rPr>
          <w:rFonts w:eastAsia="Microsoft YaHei"/>
          <w:color w:val="000000"/>
          <w:sz w:val="22"/>
          <w:lang w:eastAsia="ko-KR"/>
        </w:rPr>
        <w:t>Case 3: All CCs are contiguous in DL but neither carrier is contiguous to each other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857"/>
      </w:tblGrid>
      <w:tr w:rsidR="00811C1A" w:rsidRPr="00B56A4D" w14:paraId="656F88D6" w14:textId="77777777" w:rsidTr="00B94CEB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3879D81C" w14:textId="77777777" w:rsidR="00811C1A" w:rsidRPr="00B56A4D" w:rsidRDefault="00811C1A" w:rsidP="00B94CEB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lastRenderedPageBreak/>
              <w:t>EN-DC</w:t>
            </w:r>
          </w:p>
          <w:p w14:paraId="3564789F" w14:textId="77777777" w:rsidR="00811C1A" w:rsidRPr="00B56A4D" w:rsidRDefault="00811C1A" w:rsidP="00B94CEB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841" w:type="pct"/>
          </w:tcPr>
          <w:p w14:paraId="6A744C6B" w14:textId="77777777" w:rsidR="00811C1A" w:rsidRPr="00B56A4D" w:rsidRDefault="00811C1A" w:rsidP="00B94CEB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Uplink EN-DC</w:t>
            </w:r>
          </w:p>
          <w:p w14:paraId="0AA48ADA" w14:textId="77777777" w:rsidR="00811C1A" w:rsidRPr="00B56A4D" w:rsidRDefault="00811C1A" w:rsidP="00B94CEB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811C1A" w:rsidRPr="00B56A4D" w14:paraId="1FF9596A" w14:textId="77777777" w:rsidTr="00B94CEB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02E16A10" w14:textId="77777777" w:rsidR="00811C1A" w:rsidRPr="00B56A4D" w:rsidRDefault="00811C1A" w:rsidP="00B94CEB">
            <w:pPr>
              <w:pStyle w:val="TAC"/>
              <w:rPr>
                <w:vertAlign w:val="superscript"/>
                <w:lang w:val="de-DE" w:eastAsia="zh-TW"/>
              </w:rPr>
            </w:pPr>
            <w:r w:rsidRPr="00B56A4D">
              <w:rPr>
                <w:lang w:val="de-DE" w:eastAsia="fi-FI"/>
              </w:rPr>
              <w:t>DC_(n)41A</w:t>
            </w:r>
            <w:r w:rsidRPr="00B56A4D">
              <w:rPr>
                <w:lang w:val="de-DE" w:eastAsia="zh-CN"/>
              </w:rPr>
              <w:t>B</w:t>
            </w:r>
          </w:p>
          <w:p w14:paraId="1CAEA601" w14:textId="77777777" w:rsidR="00811C1A" w:rsidRPr="00B56A4D" w:rsidRDefault="00811C1A" w:rsidP="00B94CEB">
            <w:pPr>
              <w:pStyle w:val="TAC"/>
              <w:rPr>
                <w:lang w:val="de-DE" w:eastAsia="fi-FI"/>
              </w:rPr>
            </w:pPr>
            <w:r w:rsidRPr="00B56A4D">
              <w:rPr>
                <w:lang w:val="de-DE" w:eastAsia="fi-FI"/>
              </w:rPr>
              <w:t>DC_(n)41CA</w:t>
            </w:r>
          </w:p>
          <w:p w14:paraId="73234510" w14:textId="77777777" w:rsidR="00811C1A" w:rsidRPr="00811C1A" w:rsidRDefault="00811C1A" w:rsidP="00B94CEB">
            <w:pPr>
              <w:pStyle w:val="TAC"/>
              <w:rPr>
                <w:lang w:val="es-US" w:eastAsia="fi-FI"/>
              </w:rPr>
            </w:pPr>
            <w:r w:rsidRPr="00811C1A">
              <w:rPr>
                <w:lang w:val="es-US" w:eastAsia="fi-FI"/>
              </w:rPr>
              <w:t>DC_(n)41DA</w:t>
            </w:r>
          </w:p>
        </w:tc>
        <w:tc>
          <w:tcPr>
            <w:tcW w:w="2841" w:type="pct"/>
            <w:vAlign w:val="center"/>
          </w:tcPr>
          <w:p w14:paraId="2B1D5958" w14:textId="77777777" w:rsidR="00811C1A" w:rsidRPr="00B56A4D" w:rsidRDefault="00811C1A" w:rsidP="00B94CEB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DC_41A_n41A</w:t>
            </w:r>
          </w:p>
        </w:tc>
      </w:tr>
      <w:tr w:rsidR="00811C1A" w:rsidRPr="00B56A4D" w14:paraId="33443F0C" w14:textId="77777777" w:rsidTr="00B94CEB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3BE8062F" w14:textId="77777777" w:rsidR="00811C1A" w:rsidRPr="00B56A4D" w:rsidRDefault="00811C1A" w:rsidP="00B94CEB">
            <w:pPr>
              <w:pStyle w:val="TAC"/>
              <w:rPr>
                <w:lang w:eastAsia="zh-TW"/>
              </w:rPr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2841" w:type="pct"/>
          </w:tcPr>
          <w:p w14:paraId="4F420846" w14:textId="77777777" w:rsidR="00811C1A" w:rsidRPr="00B56A4D" w:rsidRDefault="00811C1A" w:rsidP="00B94CEB">
            <w:pPr>
              <w:pStyle w:val="TAC"/>
              <w:rPr>
                <w:lang w:eastAsia="zh-TW"/>
              </w:rPr>
            </w:pPr>
            <w:r w:rsidRPr="00B56A4D">
              <w:rPr>
                <w:rFonts w:eastAsia="PMingLiU" w:cs="Arial"/>
                <w:lang w:eastAsia="zh-TW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</w:tr>
      <w:tr w:rsidR="00811C1A" w:rsidRPr="00B56A4D" w14:paraId="7FEA6F56" w14:textId="77777777" w:rsidTr="00B94CEB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5C336C20" w14:textId="77777777" w:rsidR="00811C1A" w:rsidRPr="00B56A4D" w:rsidRDefault="00811C1A" w:rsidP="00B94CEB">
            <w:pPr>
              <w:pStyle w:val="TAC"/>
              <w:rPr>
                <w:lang w:eastAsia="zh-TW"/>
              </w:rPr>
            </w:pPr>
            <w:r w:rsidRPr="00B56A4D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2841" w:type="pct"/>
          </w:tcPr>
          <w:p w14:paraId="3BC7ED61" w14:textId="77777777" w:rsidR="00811C1A" w:rsidRPr="00B56A4D" w:rsidRDefault="00811C1A" w:rsidP="00B94CEB">
            <w:pPr>
              <w:pStyle w:val="TAC"/>
              <w:rPr>
                <w:lang w:eastAsia="zh-TW"/>
              </w:rPr>
            </w:pPr>
            <w:r w:rsidRPr="00B56A4D">
              <w:rPr>
                <w:rFonts w:eastAsia="PMingLiU" w:cs="Arial"/>
                <w:lang w:eastAsia="zh-TW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</w:tr>
    </w:tbl>
    <w:p w14:paraId="5FBE32EC" w14:textId="77777777" w:rsidR="00811C1A" w:rsidRPr="00B56A4D" w:rsidRDefault="00811C1A" w:rsidP="00811C1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eastAsia="Malgun Gothic"/>
          <w:color w:val="000000"/>
          <w:sz w:val="22"/>
          <w:lang w:eastAsia="ko-KR"/>
        </w:rPr>
      </w:pPr>
      <w:r w:rsidRPr="00B56A4D">
        <w:rPr>
          <w:rFonts w:eastAsia="Malgun Gothic"/>
          <w:color w:val="000000"/>
          <w:sz w:val="22"/>
          <w:lang w:eastAsia="ko-KR"/>
        </w:rPr>
        <w:t>Case 4: LTE and NR adjacent carriers are contiguous but carriers in LTE or NR are non-contiguous, it will has two kinds of UL ENDC configurations: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688"/>
      </w:tblGrid>
      <w:tr w:rsidR="00811C1A" w:rsidRPr="00B56A4D" w14:paraId="5925CBF1" w14:textId="77777777" w:rsidTr="00B94CEB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1EB46B2B" w14:textId="77777777" w:rsidR="00811C1A" w:rsidRPr="00B56A4D" w:rsidRDefault="00811C1A" w:rsidP="00B94CEB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EN-DC</w:t>
            </w:r>
          </w:p>
          <w:p w14:paraId="0A800586" w14:textId="77777777" w:rsidR="00811C1A" w:rsidRPr="00B56A4D" w:rsidRDefault="00811C1A" w:rsidP="00B94CEB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6C60A24B" w14:textId="77777777" w:rsidR="00811C1A" w:rsidRPr="00B56A4D" w:rsidRDefault="00811C1A" w:rsidP="00B94CEB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Uplink EN-DC</w:t>
            </w:r>
          </w:p>
          <w:p w14:paraId="523F156D" w14:textId="77777777" w:rsidR="00811C1A" w:rsidRPr="00B56A4D" w:rsidRDefault="00811C1A" w:rsidP="00B94CEB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811C1A" w:rsidRPr="00B56A4D" w14:paraId="575E0FFF" w14:textId="77777777" w:rsidTr="00B94CEB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14:paraId="1A0DB21F" w14:textId="77777777" w:rsidR="00811C1A" w:rsidRPr="00B56A4D" w:rsidRDefault="00811C1A" w:rsidP="00B94CEB">
            <w:pPr>
              <w:pStyle w:val="TAC"/>
              <w:rPr>
                <w:rFonts w:eastAsia="PMingLiU"/>
                <w:vertAlign w:val="superscript"/>
                <w:lang w:val="de-DE" w:eastAsia="zh-TW"/>
              </w:rPr>
            </w:pPr>
            <w:r w:rsidRPr="00B56A4D">
              <w:rPr>
                <w:lang w:val="de-DE" w:eastAsia="fi-FI"/>
              </w:rPr>
              <w:t>DC_48A_(n)48A</w:t>
            </w:r>
            <w:r w:rsidRPr="00B56A4D">
              <w:rPr>
                <w:lang w:val="de-DE" w:eastAsia="zh-CN"/>
              </w:rPr>
              <w:t>A</w:t>
            </w:r>
          </w:p>
        </w:tc>
        <w:tc>
          <w:tcPr>
            <w:tcW w:w="2616" w:type="pct"/>
          </w:tcPr>
          <w:p w14:paraId="1A771360" w14:textId="77777777" w:rsidR="00811C1A" w:rsidRPr="00B56A4D" w:rsidRDefault="00811C1A" w:rsidP="00B94CEB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DC_(n)48AA</w:t>
            </w:r>
          </w:p>
          <w:p w14:paraId="652F019F" w14:textId="77777777" w:rsidR="00811C1A" w:rsidRPr="00B56A4D" w:rsidRDefault="00811C1A" w:rsidP="00B94CEB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DC_48A_n48A</w:t>
            </w:r>
          </w:p>
        </w:tc>
      </w:tr>
    </w:tbl>
    <w:p w14:paraId="0DCF3A2C" w14:textId="24292FCE" w:rsidR="00811C1A" w:rsidRDefault="00811C1A" w:rsidP="00812CC2"/>
    <w:p w14:paraId="5B1BB2DF" w14:textId="694CF1AE" w:rsidR="008F05E4" w:rsidRPr="008F05E4" w:rsidRDefault="008F05E4" w:rsidP="00812CC2">
      <w:pPr>
        <w:rPr>
          <w:b/>
          <w:bCs/>
          <w:u w:val="single"/>
        </w:rPr>
      </w:pPr>
      <w:r w:rsidRPr="008F05E4">
        <w:rPr>
          <w:b/>
          <w:bCs/>
          <w:u w:val="single"/>
        </w:rPr>
        <w:t>Use Cases</w:t>
      </w:r>
    </w:p>
    <w:p w14:paraId="16281584" w14:textId="5D93B31A" w:rsidR="008F05E4" w:rsidRDefault="00095861" w:rsidP="00812CC2">
      <w:r>
        <w:t xml:space="preserve">Channel allocation is dynamic for GAA (General Authorized Access) operation in the CBRS band. </w:t>
      </w:r>
      <w:r w:rsidR="008F05E4">
        <w:t xml:space="preserve">GAA can </w:t>
      </w:r>
      <w:r>
        <w:t xml:space="preserve">start with a Pcell and can </w:t>
      </w:r>
      <w:r w:rsidR="008F05E4">
        <w:t xml:space="preserve">add vacant channels freely as a PScell or Scell. Once </w:t>
      </w:r>
      <w:r>
        <w:t>a</w:t>
      </w:r>
      <w:r w:rsidR="008F05E4">
        <w:t xml:space="preserve"> channel</w:t>
      </w:r>
      <w:r>
        <w:t xml:space="preserve"> is not available anymore, it needs to be dropped. The intra-band combinations would become contiguous and non-contiguous during this dynamic channel allocation</w:t>
      </w:r>
      <w:r w:rsidR="00F45E29">
        <w:t xml:space="preserve"> process</w:t>
      </w:r>
      <w:r>
        <w:t xml:space="preserve">. Thus, those Case 3 and Case 4 configurations for band 48/n48 are necessary due to this nature of </w:t>
      </w:r>
      <w:r w:rsidR="00407B18">
        <w:t>GAA</w:t>
      </w:r>
      <w:r>
        <w:t xml:space="preserve"> operation</w:t>
      </w:r>
      <w:r w:rsidR="00424DE3">
        <w:t xml:space="preserve">, even though this may not </w:t>
      </w:r>
      <w:r w:rsidR="005D2C36">
        <w:t>be aligned with</w:t>
      </w:r>
      <w:r w:rsidR="00424DE3">
        <w:t xml:space="preserve"> the fallback principle.</w:t>
      </w:r>
    </w:p>
    <w:p w14:paraId="5F9A16DA" w14:textId="77777777" w:rsidR="00A8582A" w:rsidRDefault="00A8582A" w:rsidP="00A8582A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>Observation 1: Case 3 and Case 4 are needed for the flexibility of CBRS GAA operation.</w:t>
      </w:r>
    </w:p>
    <w:p w14:paraId="5DDEBDBC" w14:textId="77777777" w:rsidR="00A8582A" w:rsidRDefault="00A8582A" w:rsidP="00A8582A">
      <w:r>
        <w:t>However, this may not be the case for band 41/n41. Indeed, Case 3 was agreed to be removed from Rel-15 [9,10], however, the CR was not fully implemented and some of them still remain in Rel-15. If there is no use case identified for band 41 and n41, it can be removed also from later releases.</w:t>
      </w:r>
    </w:p>
    <w:p w14:paraId="4521C11E" w14:textId="77777777" w:rsidR="00A8582A" w:rsidRPr="004C196A" w:rsidRDefault="00A8582A" w:rsidP="00A8582A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 xml:space="preserve">Proposal 1: Consider </w:t>
      </w:r>
      <w:r>
        <w:rPr>
          <w:b/>
          <w:bCs/>
          <w:i/>
          <w:iCs/>
        </w:rPr>
        <w:t>removing</w:t>
      </w:r>
      <w:r w:rsidRPr="004C196A">
        <w:rPr>
          <w:b/>
          <w:bCs/>
          <w:i/>
          <w:iCs/>
        </w:rPr>
        <w:t xml:space="preserve"> Case 3</w:t>
      </w:r>
      <w:r>
        <w:rPr>
          <w:b/>
          <w:bCs/>
          <w:i/>
          <w:iCs/>
        </w:rPr>
        <w:t xml:space="preserve"> </w:t>
      </w:r>
      <w:r w:rsidRPr="004C196A">
        <w:rPr>
          <w:b/>
          <w:bCs/>
          <w:i/>
          <w:iCs/>
        </w:rPr>
        <w:t>for band 41 and n41</w:t>
      </w:r>
      <w:r>
        <w:rPr>
          <w:b/>
          <w:bCs/>
          <w:i/>
          <w:iCs/>
        </w:rPr>
        <w:t xml:space="preserve"> if no use case is identified.</w:t>
      </w:r>
    </w:p>
    <w:p w14:paraId="0E100BE8" w14:textId="4F9EC693" w:rsidR="00424DE3" w:rsidRDefault="005D2C36" w:rsidP="00424DE3">
      <w:r>
        <w:t>In</w:t>
      </w:r>
      <w:r w:rsidR="00F45E29">
        <w:t xml:space="preserve"> the</w:t>
      </w:r>
      <w:r w:rsidR="00424DE3">
        <w:t xml:space="preserve"> fallback</w:t>
      </w:r>
      <w:r w:rsidR="00F45E29">
        <w:t xml:space="preserve"> </w:t>
      </w:r>
      <w:r>
        <w:t>operation</w:t>
      </w:r>
      <w:r w:rsidR="00424DE3">
        <w:t xml:space="preserve">, Scell de-activation </w:t>
      </w:r>
      <w:r>
        <w:t>should</w:t>
      </w:r>
      <w:r w:rsidR="00F45E29">
        <w:t xml:space="preserve"> not</w:t>
      </w:r>
      <w:r w:rsidR="00424DE3">
        <w:t xml:space="preserve"> </w:t>
      </w:r>
      <w:r>
        <w:t>increase</w:t>
      </w:r>
      <w:r w:rsidR="00424DE3">
        <w:t xml:space="preserve"> </w:t>
      </w:r>
      <w:r>
        <w:t xml:space="preserve">the number of non-contiguous sub-blocks </w:t>
      </w:r>
      <w:r w:rsidR="00F45E29">
        <w:t xml:space="preserve">to </w:t>
      </w:r>
      <w:r>
        <w:t xml:space="preserve">keep the same number of active </w:t>
      </w:r>
      <w:r w:rsidR="00407B18">
        <w:t>RF</w:t>
      </w:r>
      <w:r w:rsidR="00F45E29">
        <w:t xml:space="preserve"> chain</w:t>
      </w:r>
      <w:r>
        <w:t>s</w:t>
      </w:r>
      <w:r w:rsidR="00424DE3">
        <w:t xml:space="preserve">. </w:t>
      </w:r>
      <w:r>
        <w:t xml:space="preserve">With this assumption, </w:t>
      </w:r>
      <w:r w:rsidR="00424DE3">
        <w:t>the capability signalling</w:t>
      </w:r>
      <w:r w:rsidR="00F45E29">
        <w:t xml:space="preserve"> can be </w:t>
      </w:r>
      <w:r w:rsidR="00407B18">
        <w:t>only</w:t>
      </w:r>
      <w:r w:rsidR="00F45E29">
        <w:t xml:space="preserve"> </w:t>
      </w:r>
      <w:r>
        <w:t xml:space="preserve">made for </w:t>
      </w:r>
      <w:r w:rsidR="00F45E29">
        <w:t>the highest order combination</w:t>
      </w:r>
      <w:r>
        <w:t xml:space="preserve"> and all fallback combinations can follow the same UE capability</w:t>
      </w:r>
      <w:r w:rsidR="00424DE3">
        <w:t xml:space="preserve">. </w:t>
      </w:r>
      <w:r w:rsidR="008621A2">
        <w:t>However, t</w:t>
      </w:r>
      <w:r w:rsidR="00424DE3">
        <w:t xml:space="preserve">here is no strict </w:t>
      </w:r>
      <w:r w:rsidR="00F45E29">
        <w:t>limitation</w:t>
      </w:r>
      <w:r w:rsidR="00424DE3">
        <w:t xml:space="preserve"> that Case 3 or Case 4 configuration </w:t>
      </w:r>
      <w:r w:rsidR="00A8582A">
        <w:t>shall be forbidden</w:t>
      </w:r>
      <w:r>
        <w:t xml:space="preserve">, as far as per BC UE capability signalling is </w:t>
      </w:r>
      <w:r w:rsidR="00A8582A">
        <w:t xml:space="preserve">well </w:t>
      </w:r>
      <w:r>
        <w:t>defined</w:t>
      </w:r>
      <w:r w:rsidR="00424DE3">
        <w:t>.</w:t>
      </w:r>
    </w:p>
    <w:p w14:paraId="6339F308" w14:textId="0237A911" w:rsidR="005D2C36" w:rsidRPr="004C196A" w:rsidRDefault="005D2C36" w:rsidP="00812CC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Fallback is </w:t>
      </w:r>
      <w:r w:rsidR="00A8582A">
        <w:rPr>
          <w:b/>
          <w:bCs/>
          <w:i/>
          <w:iCs/>
        </w:rPr>
        <w:t xml:space="preserve">defined to support reduced UE capability signalling for lower order CA/DC and is not restricting Case 3 or Case </w:t>
      </w:r>
      <w:r w:rsidR="008621A2">
        <w:rPr>
          <w:b/>
          <w:bCs/>
          <w:i/>
          <w:iCs/>
        </w:rPr>
        <w:t>4 configuration if there is</w:t>
      </w:r>
      <w:r w:rsidR="00460AA2">
        <w:rPr>
          <w:b/>
          <w:bCs/>
          <w:i/>
          <w:iCs/>
        </w:rPr>
        <w:t xml:space="preserve"> a</w:t>
      </w:r>
      <w:r w:rsidR="008621A2">
        <w:rPr>
          <w:b/>
          <w:bCs/>
          <w:i/>
          <w:iCs/>
        </w:rPr>
        <w:t xml:space="preserve"> demand to support them</w:t>
      </w:r>
      <w:r w:rsidR="00A8582A">
        <w:rPr>
          <w:b/>
          <w:bCs/>
          <w:i/>
          <w:iCs/>
        </w:rPr>
        <w:t xml:space="preserve">. </w:t>
      </w:r>
    </w:p>
    <w:p w14:paraId="27E16648" w14:textId="08619EFF" w:rsidR="008F05E4" w:rsidRDefault="008F05E4" w:rsidP="00812CC2"/>
    <w:p w14:paraId="11585413" w14:textId="32FEA0FB" w:rsidR="004C196A" w:rsidRPr="008F05E4" w:rsidRDefault="004C196A" w:rsidP="004C196A">
      <w:pPr>
        <w:rPr>
          <w:b/>
          <w:bCs/>
          <w:u w:val="single"/>
        </w:rPr>
      </w:pPr>
      <w:r>
        <w:rPr>
          <w:b/>
          <w:bCs/>
          <w:u w:val="single"/>
        </w:rPr>
        <w:t>Solutions</w:t>
      </w:r>
    </w:p>
    <w:p w14:paraId="241D4121" w14:textId="632CBCF4" w:rsidR="004C196A" w:rsidRDefault="004C7B3F" w:rsidP="00812CC2">
      <w:r>
        <w:t>In order to sort out the inconsistency issues there are possible solutions</w:t>
      </w:r>
      <w:r w:rsidR="00FC727E">
        <w:t xml:space="preserve"> in the following</w:t>
      </w:r>
      <w:r>
        <w:t>.</w:t>
      </w:r>
    </w:p>
    <w:p w14:paraId="30A09565" w14:textId="1959F4A2" w:rsidR="004C7B3F" w:rsidRDefault="004C7B3F" w:rsidP="004C7B3F">
      <w:pPr>
        <w:pStyle w:val="ListParagraph"/>
        <w:numPr>
          <w:ilvl w:val="0"/>
          <w:numId w:val="27"/>
        </w:numPr>
      </w:pPr>
      <w:r>
        <w:t>Option 1: Remove Case 3 and 4</w:t>
      </w:r>
      <w:r w:rsidR="00407B18">
        <w:t xml:space="preserve"> in RAN4</w:t>
      </w:r>
      <w:r w:rsidR="00D479B3">
        <w:t>;</w:t>
      </w:r>
      <w:r w:rsidR="001561B1">
        <w:t xml:space="preserve"> No change in RAN2.</w:t>
      </w:r>
    </w:p>
    <w:p w14:paraId="76F44286" w14:textId="542ECE3E" w:rsidR="00D479B3" w:rsidRDefault="00D479B3" w:rsidP="00D479B3">
      <w:pPr>
        <w:pStyle w:val="ListParagraph"/>
        <w:numPr>
          <w:ilvl w:val="0"/>
          <w:numId w:val="27"/>
        </w:numPr>
      </w:pPr>
      <w:r>
        <w:t xml:space="preserve">Option </w:t>
      </w:r>
      <w:r w:rsidR="00FC727E">
        <w:t>2</w:t>
      </w:r>
      <w:r>
        <w:t>: Introduce more flexible</w:t>
      </w:r>
      <w:r w:rsidR="00FC727E">
        <w:t xml:space="preserve"> UE capability </w:t>
      </w:r>
      <w:r>
        <w:t>signalling</w:t>
      </w:r>
      <w:r w:rsidR="00FC727E">
        <w:t xml:space="preserve"> in RAN2.</w:t>
      </w:r>
    </w:p>
    <w:p w14:paraId="286CA6DC" w14:textId="1D62E398" w:rsidR="00FC727E" w:rsidRDefault="00FC727E" w:rsidP="00F0797B">
      <w:pPr>
        <w:pStyle w:val="ListParagraph"/>
        <w:numPr>
          <w:ilvl w:val="0"/>
          <w:numId w:val="27"/>
        </w:numPr>
      </w:pPr>
      <w:r>
        <w:t>Option 3: U</w:t>
      </w:r>
      <w:r w:rsidR="00407B18">
        <w:t>se</w:t>
      </w:r>
      <w:r>
        <w:t xml:space="preserve"> the existing UE capability to clarify which configurations are supported; No need to introduce a new signalling</w:t>
      </w:r>
      <w:r w:rsidR="00407B18">
        <w:t>. F</w:t>
      </w:r>
      <w:r>
        <w:t>urther clarification</w:t>
      </w:r>
      <w:r w:rsidR="00407B18">
        <w:t>/modification</w:t>
      </w:r>
      <w:r>
        <w:t xml:space="preserve"> on </w:t>
      </w:r>
      <w:r w:rsidR="00407B18">
        <w:t xml:space="preserve">the definition of existing </w:t>
      </w:r>
      <w:r>
        <w:t>UE capability is needed in RAN2.</w:t>
      </w:r>
    </w:p>
    <w:p w14:paraId="7DBCBBB1" w14:textId="2C2F018C" w:rsidR="00FC727E" w:rsidRDefault="00FC727E" w:rsidP="00812CC2">
      <w:r>
        <w:t xml:space="preserve">Option 1 is to remove all ambiguous EN-DC cases, which does not require any change in RAN2. According to our Observation 2, this </w:t>
      </w:r>
      <w:r w:rsidR="00051E16">
        <w:t xml:space="preserve">will </w:t>
      </w:r>
      <w:r>
        <w:t xml:space="preserve">restrict </w:t>
      </w:r>
      <w:r w:rsidR="00051E16">
        <w:t>the</w:t>
      </w:r>
      <w:r>
        <w:t xml:space="preserve"> expected CBRS GAA operation.</w:t>
      </w:r>
    </w:p>
    <w:p w14:paraId="715023EC" w14:textId="108EF1BA" w:rsidR="00FC727E" w:rsidRDefault="00FC727E" w:rsidP="00812CC2">
      <w:r>
        <w:t>Option 2 is for RAN2 to provide a sufficiently flexible UE capability signalling. RAN4 would not need any further action until RAN2 completes the spec update. We do not discuss a</w:t>
      </w:r>
      <w:r w:rsidR="006B24DD">
        <w:t xml:space="preserve"> </w:t>
      </w:r>
      <w:r>
        <w:t xml:space="preserve">RAN2 solution in detail in this contribution. Nevertheless, a possible issue is </w:t>
      </w:r>
      <w:r w:rsidR="009030B3">
        <w:t>whether such a new signalling can be supported in</w:t>
      </w:r>
      <w:r>
        <w:t xml:space="preserve"> legacy releases</w:t>
      </w:r>
      <w:r w:rsidR="005F1372">
        <w:t xml:space="preserve"> or not</w:t>
      </w:r>
      <w:r>
        <w:t>.</w:t>
      </w:r>
    </w:p>
    <w:p w14:paraId="3E438454" w14:textId="48445288" w:rsidR="00FC727E" w:rsidRDefault="00FC727E" w:rsidP="00812CC2">
      <w:r>
        <w:t xml:space="preserve">Option 3 is to use the existing capability signalling but </w:t>
      </w:r>
      <w:r w:rsidR="00444068">
        <w:t xml:space="preserve">it is </w:t>
      </w:r>
      <w:r>
        <w:t xml:space="preserve">redefined to </w:t>
      </w:r>
      <w:r w:rsidR="00F0797B">
        <w:t xml:space="preserve">further </w:t>
      </w:r>
      <w:r>
        <w:t xml:space="preserve">clarify the ambiguity </w:t>
      </w:r>
      <w:r w:rsidR="00F0797B">
        <w:t>and</w:t>
      </w:r>
      <w:r>
        <w:t xml:space="preserve"> inconsistency. </w:t>
      </w:r>
      <w:r w:rsidR="00F0797B">
        <w:t>This</w:t>
      </w:r>
      <w:r>
        <w:t xml:space="preserve"> is possibly NBC</w:t>
      </w:r>
      <w:r w:rsidR="00F0797B">
        <w:t>. T</w:t>
      </w:r>
      <w:r>
        <w:t>hese band combos are likely not yet supported</w:t>
      </w:r>
      <w:r w:rsidR="00F0797B">
        <w:t xml:space="preserve"> in any product</w:t>
      </w:r>
      <w:r w:rsidR="00444068">
        <w:t>. Thus</w:t>
      </w:r>
      <w:r w:rsidR="00F0797B">
        <w:t>, i</w:t>
      </w:r>
      <w:r>
        <w:t>t would be po</w:t>
      </w:r>
      <w:r w:rsidR="00F0797B">
        <w:t>ssible to avoid NBC.</w:t>
      </w:r>
    </w:p>
    <w:p w14:paraId="1E66FD94" w14:textId="69233605" w:rsidR="00FC727E" w:rsidRDefault="00B80FB4" w:rsidP="00812CC2">
      <w:r>
        <w:lastRenderedPageBreak/>
        <w:t>A CR [11] is already agreed to</w:t>
      </w:r>
      <w:r w:rsidR="00EC7852">
        <w:t xml:space="preserve"> introduce a new table for</w:t>
      </w:r>
      <w:r>
        <w:t xml:space="preserve"> </w:t>
      </w:r>
      <w:r w:rsidR="00EC7852" w:rsidRPr="00EC7852">
        <w:t>mixed intra-band contiguous and non-contiguous EN-DC</w:t>
      </w:r>
      <w:r w:rsidR="00EC7852">
        <w:t xml:space="preserve"> cases, intended for Case 4.</w:t>
      </w:r>
      <w:r w:rsidR="00D3768A">
        <w:t xml:space="preserve"> Though it is not agreed, the </w:t>
      </w:r>
      <w:r w:rsidR="00A346D0">
        <w:t>intention</w:t>
      </w:r>
      <w:r w:rsidR="00D3768A">
        <w:t xml:space="preserve"> is to use </w:t>
      </w:r>
      <w:r w:rsidR="00D3768A" w:rsidRPr="00D3768A">
        <w:t>intraBandENDC-Support</w:t>
      </w:r>
      <w:r w:rsidR="00D3768A">
        <w:t>=both</w:t>
      </w:r>
      <w:r w:rsidR="00A346D0">
        <w:t xml:space="preserve"> for the new table</w:t>
      </w:r>
      <w:r w:rsidR="00D3768A">
        <w:t>.</w:t>
      </w:r>
      <w:r w:rsidR="00A346D0">
        <w:t xml:space="preserve"> </w:t>
      </w:r>
      <w:r w:rsidR="001A223B">
        <w:t xml:space="preserve">However, </w:t>
      </w:r>
      <w:r w:rsidR="00A346D0">
        <w:t>Case 3 is not sorted out yet.</w:t>
      </w:r>
    </w:p>
    <w:p w14:paraId="73E1F423" w14:textId="23802FFE" w:rsidR="001A223B" w:rsidRDefault="001A223B" w:rsidP="00812CC2">
      <w:r>
        <w:t xml:space="preserve">One possible way to keep all Case 3 and Case 4 </w:t>
      </w:r>
      <w:r w:rsidR="00BB0979">
        <w:t>in the</w:t>
      </w:r>
      <w:r>
        <w:t xml:space="preserve"> spec is to assign </w:t>
      </w:r>
      <w:r w:rsidRPr="00D3768A">
        <w:t>intraBandENDC-Support</w:t>
      </w:r>
      <w:r>
        <w:t xml:space="preserve">=both to </w:t>
      </w:r>
      <w:r w:rsidR="00BB0979">
        <w:t xml:space="preserve">DL contiguous and UL non-contiguous case, i.e., </w:t>
      </w:r>
    </w:p>
    <w:p w14:paraId="3FF62EE4" w14:textId="503A048A" w:rsidR="00BB0979" w:rsidRDefault="00BB0979" w:rsidP="00DC5E09">
      <w:pPr>
        <w:pStyle w:val="ListParagraph"/>
        <w:numPr>
          <w:ilvl w:val="0"/>
          <w:numId w:val="28"/>
        </w:numPr>
      </w:pPr>
      <w:r>
        <w:t xml:space="preserve">EN-DC config including a (n) sub-block </w:t>
      </w:r>
      <w:r w:rsidR="00541076">
        <w:t xml:space="preserve">in both DL and UL </w:t>
      </w:r>
      <w:r>
        <w:t>is categorized to “contiguous”</w:t>
      </w:r>
    </w:p>
    <w:p w14:paraId="27AE4A64" w14:textId="2655F2C3" w:rsidR="00BB0979" w:rsidRPr="00DC5E09" w:rsidRDefault="00BB0979" w:rsidP="00DC5E09">
      <w:pPr>
        <w:pStyle w:val="ListParagraph"/>
        <w:numPr>
          <w:ilvl w:val="0"/>
          <w:numId w:val="28"/>
        </w:numPr>
        <w:rPr>
          <w:lang w:val="en-US"/>
        </w:rPr>
      </w:pPr>
      <w:r w:rsidRPr="00DC5E09">
        <w:rPr>
          <w:lang w:val="en-US"/>
        </w:rPr>
        <w:t>EN-DC config without any (n) sub</w:t>
      </w:r>
      <w:r w:rsidR="004B48A7">
        <w:rPr>
          <w:lang w:val="en-US"/>
        </w:rPr>
        <w:t>-</w:t>
      </w:r>
      <w:r w:rsidRPr="00DC5E09">
        <w:rPr>
          <w:lang w:val="en-US"/>
        </w:rPr>
        <w:t>block is categorized to “non-contiguous”</w:t>
      </w:r>
    </w:p>
    <w:p w14:paraId="75644210" w14:textId="0BF09F81" w:rsidR="00BB0979" w:rsidRPr="00DC5E09" w:rsidRDefault="00BB0979" w:rsidP="00DC5E09">
      <w:pPr>
        <w:pStyle w:val="ListParagraph"/>
        <w:numPr>
          <w:ilvl w:val="0"/>
          <w:numId w:val="28"/>
        </w:numPr>
        <w:rPr>
          <w:lang w:val="en-US"/>
        </w:rPr>
      </w:pPr>
      <w:r w:rsidRPr="00DC5E09">
        <w:rPr>
          <w:lang w:val="en-US"/>
        </w:rPr>
        <w:t>EN-DC config includ</w:t>
      </w:r>
      <w:r w:rsidR="00DC5E09" w:rsidRPr="00DC5E09">
        <w:rPr>
          <w:lang w:val="en-US"/>
        </w:rPr>
        <w:t>ing</w:t>
      </w:r>
      <w:r w:rsidRPr="00DC5E09">
        <w:rPr>
          <w:lang w:val="en-US"/>
        </w:rPr>
        <w:t xml:space="preserve"> a (n) sub-block in </w:t>
      </w:r>
      <w:r w:rsidR="00DC5E09" w:rsidRPr="00DC5E09">
        <w:rPr>
          <w:lang w:val="en-US"/>
        </w:rPr>
        <w:t>DL and without it in UL is categorized to “both”</w:t>
      </w:r>
    </w:p>
    <w:p w14:paraId="2923CDBD" w14:textId="1CD70A7F" w:rsidR="00DC5E09" w:rsidRDefault="00DC5E09" w:rsidP="00812CC2">
      <w:pPr>
        <w:rPr>
          <w:lang w:val="en-US"/>
        </w:rPr>
      </w:pPr>
      <w:r>
        <w:rPr>
          <w:lang w:val="en-US"/>
        </w:rPr>
        <w:t xml:space="preserve">In this way each band combo is defined without any ambiguity. </w:t>
      </w:r>
      <w:r w:rsidR="00460AA2">
        <w:rPr>
          <w:lang w:val="en-US"/>
        </w:rPr>
        <w:t xml:space="preserve">This </w:t>
      </w:r>
      <w:r w:rsidR="00C60FE6">
        <w:rPr>
          <w:lang w:val="en-US"/>
        </w:rPr>
        <w:t xml:space="preserve">is </w:t>
      </w:r>
      <w:r w:rsidR="00460AA2">
        <w:rPr>
          <w:lang w:val="en-US"/>
        </w:rPr>
        <w:t>summarized in Table 1</w:t>
      </w:r>
      <w:r w:rsidR="00C60FE6">
        <w:rPr>
          <w:lang w:val="en-US"/>
        </w:rPr>
        <w:t>.</w:t>
      </w:r>
    </w:p>
    <w:p w14:paraId="23C2963B" w14:textId="7B0A211C" w:rsidR="00460AA2" w:rsidRDefault="00460AA2" w:rsidP="00812CC2">
      <w:pPr>
        <w:rPr>
          <w:lang w:val="en-US"/>
        </w:rPr>
      </w:pPr>
    </w:p>
    <w:p w14:paraId="4EA51A8B" w14:textId="545F058B" w:rsidR="00460AA2" w:rsidRPr="00460AA2" w:rsidRDefault="00460AA2" w:rsidP="00460AA2">
      <w:pPr>
        <w:jc w:val="center"/>
        <w:rPr>
          <w:b/>
          <w:bCs/>
          <w:lang w:val="en-US"/>
        </w:rPr>
      </w:pPr>
      <w:r w:rsidRPr="00460AA2">
        <w:rPr>
          <w:b/>
          <w:bCs/>
          <w:lang w:val="en-US"/>
        </w:rPr>
        <w:t>Table 1: EN-DC configuration category (propose</w:t>
      </w:r>
      <w:r>
        <w:rPr>
          <w:b/>
          <w:bCs/>
          <w:lang w:val="en-US"/>
        </w:rPr>
        <w:t>d</w:t>
      </w:r>
      <w:r w:rsidRPr="00460AA2">
        <w:rPr>
          <w:b/>
          <w:bCs/>
          <w:lang w:val="en-US"/>
        </w:rPr>
        <w:t xml:space="preserve"> vs current)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4"/>
        <w:gridCol w:w="1616"/>
        <w:gridCol w:w="2602"/>
        <w:gridCol w:w="3259"/>
      </w:tblGrid>
      <w:tr w:rsidR="00460AA2" w:rsidRPr="00B56A4D" w14:paraId="40F46856" w14:textId="0247B12F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053D3892" w14:textId="77777777" w:rsidR="00460AA2" w:rsidRPr="00460AA2" w:rsidRDefault="00460AA2" w:rsidP="00B94CEB">
            <w:pPr>
              <w:pStyle w:val="TAH"/>
              <w:rPr>
                <w:lang w:eastAsia="fi-FI"/>
              </w:rPr>
            </w:pPr>
            <w:r w:rsidRPr="00460AA2">
              <w:rPr>
                <w:lang w:eastAsia="fi-FI"/>
              </w:rPr>
              <w:t>EN-DC</w:t>
            </w:r>
          </w:p>
          <w:p w14:paraId="18AFE5ED" w14:textId="77777777" w:rsidR="00460AA2" w:rsidRPr="00460AA2" w:rsidRDefault="00460AA2" w:rsidP="00B94CEB">
            <w:pPr>
              <w:pStyle w:val="TAH"/>
              <w:rPr>
                <w:lang w:eastAsia="fi-FI"/>
              </w:rPr>
            </w:pPr>
            <w:r w:rsidRPr="00460AA2">
              <w:rPr>
                <w:lang w:eastAsia="fi-FI"/>
              </w:rPr>
              <w:t>configuration</w:t>
            </w:r>
          </w:p>
        </w:tc>
        <w:tc>
          <w:tcPr>
            <w:tcW w:w="839" w:type="pct"/>
          </w:tcPr>
          <w:p w14:paraId="2F146102" w14:textId="77777777" w:rsidR="00460AA2" w:rsidRPr="00460AA2" w:rsidRDefault="00460AA2" w:rsidP="00B94CEB">
            <w:pPr>
              <w:pStyle w:val="TAH"/>
              <w:rPr>
                <w:lang w:eastAsia="fi-FI"/>
              </w:rPr>
            </w:pPr>
            <w:r w:rsidRPr="00460AA2">
              <w:rPr>
                <w:lang w:eastAsia="fi-FI"/>
              </w:rPr>
              <w:t>Uplink EN-DC</w:t>
            </w:r>
          </w:p>
          <w:p w14:paraId="3BDA4E23" w14:textId="77777777" w:rsidR="00460AA2" w:rsidRPr="00460AA2" w:rsidRDefault="00460AA2" w:rsidP="00B94CEB">
            <w:pPr>
              <w:pStyle w:val="TAH"/>
              <w:rPr>
                <w:lang w:eastAsia="fi-FI"/>
              </w:rPr>
            </w:pPr>
            <w:r w:rsidRPr="00460AA2">
              <w:rPr>
                <w:lang w:eastAsia="fi-FI"/>
              </w:rPr>
              <w:t>configuration</w:t>
            </w:r>
          </w:p>
        </w:tc>
        <w:tc>
          <w:tcPr>
            <w:tcW w:w="1351" w:type="pct"/>
          </w:tcPr>
          <w:p w14:paraId="19667329" w14:textId="77777777" w:rsidR="00460AA2" w:rsidRPr="00460AA2" w:rsidRDefault="00460AA2" w:rsidP="00B94CEB">
            <w:pPr>
              <w:pStyle w:val="TAH"/>
            </w:pPr>
            <w:r w:rsidRPr="00460AA2">
              <w:t>intraBandENDC-Support</w:t>
            </w:r>
          </w:p>
          <w:p w14:paraId="1EB7E917" w14:textId="7718E31A" w:rsidR="00460AA2" w:rsidRPr="00460AA2" w:rsidRDefault="00460AA2" w:rsidP="00B94CEB">
            <w:pPr>
              <w:pStyle w:val="TAH"/>
              <w:rPr>
                <w:lang w:eastAsia="fi-FI"/>
              </w:rPr>
            </w:pPr>
            <w:r w:rsidRPr="00460AA2">
              <w:t>(possible new category)</w:t>
            </w:r>
          </w:p>
        </w:tc>
        <w:tc>
          <w:tcPr>
            <w:tcW w:w="1692" w:type="pct"/>
          </w:tcPr>
          <w:p w14:paraId="3070E92D" w14:textId="77777777" w:rsidR="00460AA2" w:rsidRPr="00460AA2" w:rsidRDefault="00460AA2" w:rsidP="00B94CEB">
            <w:pPr>
              <w:pStyle w:val="TAH"/>
            </w:pPr>
            <w:r w:rsidRPr="00460AA2">
              <w:t>in the latest Rel-17 draft spec</w:t>
            </w:r>
          </w:p>
          <w:p w14:paraId="13650ACE" w14:textId="05FB9BE3" w:rsidR="00460AA2" w:rsidRPr="00460AA2" w:rsidRDefault="00460AA2" w:rsidP="00B94CEB">
            <w:pPr>
              <w:pStyle w:val="TAH"/>
            </w:pPr>
            <w:r w:rsidRPr="00460AA2">
              <w:t>(existing category</w:t>
            </w:r>
            <w:r w:rsidR="00D27BA9">
              <w:t xml:space="preserve"> according to </w:t>
            </w:r>
            <w:r w:rsidR="00D27BA9" w:rsidRPr="00E062F1">
              <w:t>Table 5.3B.1.2-1</w:t>
            </w:r>
            <w:r w:rsidR="00D27BA9">
              <w:t xml:space="preserve">, Table 5.3B.1.3-1 or </w:t>
            </w:r>
            <w:r w:rsidR="00D27BA9" w:rsidRPr="00D27BA9">
              <w:t>Table 5.3B.1.3-2</w:t>
            </w:r>
            <w:r w:rsidRPr="00460AA2">
              <w:t>)</w:t>
            </w:r>
          </w:p>
        </w:tc>
      </w:tr>
      <w:tr w:rsidR="00460AA2" w:rsidRPr="00B56A4D" w14:paraId="6D88C736" w14:textId="265C3331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7027598C" w14:textId="40CB6D46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B56A4D">
              <w:rPr>
                <w:rFonts w:cs="Arial"/>
                <w:lang w:eastAsia="zh-CN"/>
              </w:rPr>
              <w:t>DC_(n)48</w:t>
            </w:r>
            <w:r>
              <w:rPr>
                <w:rFonts w:cs="Arial"/>
                <w:lang w:eastAsia="zh-CN"/>
              </w:rPr>
              <w:t>A</w:t>
            </w:r>
            <w:r w:rsidRPr="00B56A4D">
              <w:rPr>
                <w:rFonts w:cs="Arial"/>
                <w:lang w:eastAsia="zh-CN"/>
              </w:rPr>
              <w:t>A</w:t>
            </w:r>
          </w:p>
        </w:tc>
        <w:tc>
          <w:tcPr>
            <w:tcW w:w="839" w:type="pct"/>
          </w:tcPr>
          <w:p w14:paraId="30A33A1C" w14:textId="758031FD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B56A4D">
              <w:rPr>
                <w:rFonts w:cs="Arial"/>
                <w:lang w:eastAsia="zh-CN"/>
              </w:rPr>
              <w:t>DC_(n)48</w:t>
            </w:r>
            <w:r>
              <w:rPr>
                <w:rFonts w:cs="Arial"/>
                <w:lang w:eastAsia="zh-CN"/>
              </w:rPr>
              <w:t>A</w:t>
            </w:r>
            <w:r w:rsidRPr="00B56A4D">
              <w:rPr>
                <w:rFonts w:cs="Arial"/>
                <w:lang w:eastAsia="zh-CN"/>
              </w:rPr>
              <w:t>A</w:t>
            </w:r>
          </w:p>
        </w:tc>
        <w:tc>
          <w:tcPr>
            <w:tcW w:w="1351" w:type="pct"/>
          </w:tcPr>
          <w:p w14:paraId="00F90D88" w14:textId="4CA6ED40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rFonts w:eastAsia="PMingLiU" w:cs="Arial"/>
                <w:lang w:eastAsia="zh-TW"/>
              </w:rPr>
              <w:t>not present (contiguous)</w:t>
            </w:r>
          </w:p>
        </w:tc>
        <w:tc>
          <w:tcPr>
            <w:tcW w:w="1692" w:type="pct"/>
          </w:tcPr>
          <w:p w14:paraId="3A24ABAE" w14:textId="21778480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contiguous</w:t>
            </w:r>
          </w:p>
        </w:tc>
      </w:tr>
      <w:tr w:rsidR="00460AA2" w:rsidRPr="00B56A4D" w14:paraId="70511A74" w14:textId="2BDAF3A0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6BD18F6A" w14:textId="2FD75E5C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839" w:type="pct"/>
          </w:tcPr>
          <w:p w14:paraId="6177D3FD" w14:textId="15DDA048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B56A4D">
              <w:rPr>
                <w:rFonts w:cs="Arial"/>
                <w:lang w:eastAsia="zh-CN"/>
              </w:rPr>
              <w:t>DC_(n)48</w:t>
            </w:r>
            <w:r w:rsidR="00C60FE6">
              <w:rPr>
                <w:rFonts w:cs="Arial"/>
                <w:lang w:eastAsia="zh-CN"/>
              </w:rPr>
              <w:t>A</w:t>
            </w:r>
            <w:r w:rsidRPr="00B56A4D">
              <w:rPr>
                <w:rFonts w:cs="Arial"/>
                <w:lang w:eastAsia="zh-CN"/>
              </w:rPr>
              <w:t>A</w:t>
            </w:r>
          </w:p>
        </w:tc>
        <w:tc>
          <w:tcPr>
            <w:tcW w:w="1351" w:type="pct"/>
          </w:tcPr>
          <w:p w14:paraId="4D0C6A26" w14:textId="0DF70EA3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rFonts w:eastAsia="PMingLiU" w:cs="Arial"/>
                <w:lang w:eastAsia="zh-TW"/>
              </w:rPr>
              <w:t>not present (contiguous)</w:t>
            </w:r>
          </w:p>
        </w:tc>
        <w:tc>
          <w:tcPr>
            <w:tcW w:w="1692" w:type="pct"/>
          </w:tcPr>
          <w:p w14:paraId="09C10A8F" w14:textId="327192BB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contiguous</w:t>
            </w:r>
          </w:p>
        </w:tc>
      </w:tr>
      <w:tr w:rsidR="00460AA2" w:rsidRPr="00B56A4D" w14:paraId="49D6FB57" w14:textId="4DBEC3B9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7270CE7F" w14:textId="744BACC9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B56A4D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839" w:type="pct"/>
          </w:tcPr>
          <w:p w14:paraId="6CAECFCD" w14:textId="225AEC30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B56A4D">
              <w:rPr>
                <w:rFonts w:cs="Arial"/>
                <w:lang w:eastAsia="zh-CN"/>
              </w:rPr>
              <w:t>DC_(n)48</w:t>
            </w:r>
            <w:r w:rsidR="00C60FE6">
              <w:rPr>
                <w:rFonts w:cs="Arial"/>
                <w:lang w:eastAsia="zh-CN"/>
              </w:rPr>
              <w:t>A</w:t>
            </w:r>
            <w:r w:rsidRPr="00B56A4D">
              <w:rPr>
                <w:rFonts w:cs="Arial"/>
                <w:lang w:eastAsia="zh-CN"/>
              </w:rPr>
              <w:t>A</w:t>
            </w:r>
          </w:p>
        </w:tc>
        <w:tc>
          <w:tcPr>
            <w:tcW w:w="1351" w:type="pct"/>
          </w:tcPr>
          <w:p w14:paraId="0966DA72" w14:textId="49776D2E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rFonts w:eastAsia="PMingLiU" w:cs="Arial"/>
                <w:lang w:eastAsia="zh-TW"/>
              </w:rPr>
              <w:t>not present (contiguous)</w:t>
            </w:r>
          </w:p>
        </w:tc>
        <w:tc>
          <w:tcPr>
            <w:tcW w:w="1692" w:type="pct"/>
          </w:tcPr>
          <w:p w14:paraId="2A677DC1" w14:textId="4A16ECEC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contiguous</w:t>
            </w:r>
          </w:p>
        </w:tc>
      </w:tr>
      <w:tr w:rsidR="00460AA2" w:rsidRPr="00B56A4D" w14:paraId="3E0DEB0E" w14:textId="5F501E04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57750DB9" w14:textId="66A6CDF5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839" w:type="pct"/>
          </w:tcPr>
          <w:p w14:paraId="409C593C" w14:textId="28382318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B56A4D">
              <w:rPr>
                <w:rFonts w:eastAsia="PMingLiU" w:cs="Arial"/>
                <w:lang w:eastAsia="zh-TW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  <w:tc>
          <w:tcPr>
            <w:tcW w:w="1351" w:type="pct"/>
          </w:tcPr>
          <w:p w14:paraId="49182345" w14:textId="0CA72990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rFonts w:eastAsia="PMingLiU" w:cs="Arial"/>
                <w:lang w:eastAsia="zh-TW"/>
              </w:rPr>
              <w:t>both</w:t>
            </w:r>
          </w:p>
        </w:tc>
        <w:tc>
          <w:tcPr>
            <w:tcW w:w="1692" w:type="pct"/>
          </w:tcPr>
          <w:p w14:paraId="1F9C758B" w14:textId="6C8BE8AB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contiguous</w:t>
            </w:r>
          </w:p>
        </w:tc>
      </w:tr>
      <w:tr w:rsidR="00460AA2" w:rsidRPr="00B56A4D" w14:paraId="296050C1" w14:textId="50561329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36FF3B86" w14:textId="03F224A0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B56A4D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839" w:type="pct"/>
          </w:tcPr>
          <w:p w14:paraId="789B496F" w14:textId="7B73C126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B56A4D">
              <w:rPr>
                <w:rFonts w:eastAsia="PMingLiU" w:cs="Arial"/>
                <w:lang w:eastAsia="zh-TW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  <w:tc>
          <w:tcPr>
            <w:tcW w:w="1351" w:type="pct"/>
          </w:tcPr>
          <w:p w14:paraId="785D2BA5" w14:textId="22C5C365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rFonts w:eastAsia="PMingLiU" w:cs="Arial"/>
                <w:lang w:eastAsia="zh-TW"/>
              </w:rPr>
              <w:t>both</w:t>
            </w:r>
          </w:p>
        </w:tc>
        <w:tc>
          <w:tcPr>
            <w:tcW w:w="1692" w:type="pct"/>
          </w:tcPr>
          <w:p w14:paraId="1129F88B" w14:textId="4E69E2DA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contiguous</w:t>
            </w:r>
          </w:p>
        </w:tc>
      </w:tr>
      <w:tr w:rsidR="00460AA2" w:rsidRPr="00B56A4D" w14:paraId="77EECF98" w14:textId="1230AE83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6F06C0AC" w14:textId="4AFC9A10" w:rsidR="00460AA2" w:rsidRPr="00B56A4D" w:rsidRDefault="00460AA2" w:rsidP="00DC5E09">
            <w:pPr>
              <w:pStyle w:val="TAC"/>
              <w:rPr>
                <w:lang w:val="de-DE" w:eastAsia="fi-FI"/>
              </w:rPr>
            </w:pPr>
            <w:r w:rsidRPr="00DC5E09">
              <w:rPr>
                <w:lang w:val="de-DE" w:eastAsia="fi-FI"/>
              </w:rPr>
              <w:t>DC_48A_n48A</w:t>
            </w:r>
          </w:p>
        </w:tc>
        <w:tc>
          <w:tcPr>
            <w:tcW w:w="839" w:type="pct"/>
            <w:vAlign w:val="center"/>
          </w:tcPr>
          <w:p w14:paraId="711A680A" w14:textId="23C14E39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DC5E09">
              <w:rPr>
                <w:lang w:val="de-DE" w:eastAsia="fi-FI"/>
              </w:rPr>
              <w:t>DC_48A_n48A</w:t>
            </w:r>
          </w:p>
        </w:tc>
        <w:tc>
          <w:tcPr>
            <w:tcW w:w="1351" w:type="pct"/>
          </w:tcPr>
          <w:p w14:paraId="1D1634A8" w14:textId="12B33BC7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  <w:tc>
          <w:tcPr>
            <w:tcW w:w="1692" w:type="pct"/>
          </w:tcPr>
          <w:p w14:paraId="70A38C09" w14:textId="3EC5F17D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</w:tr>
      <w:tr w:rsidR="00460AA2" w:rsidRPr="00B56A4D" w14:paraId="16BFB904" w14:textId="4D403B2A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469E53B2" w14:textId="4F8F8A92" w:rsidR="00460AA2" w:rsidRPr="00811C1A" w:rsidRDefault="00460AA2" w:rsidP="00DC5E09">
            <w:pPr>
              <w:pStyle w:val="TAC"/>
              <w:rPr>
                <w:lang w:val="es-US" w:eastAsia="fi-FI"/>
              </w:rPr>
            </w:pPr>
            <w:r>
              <w:rPr>
                <w:rFonts w:cs="Arial"/>
                <w:lang w:eastAsia="zh-CN"/>
              </w:rPr>
              <w:t>DC_48A-48A_n48A</w:t>
            </w:r>
          </w:p>
        </w:tc>
        <w:tc>
          <w:tcPr>
            <w:tcW w:w="839" w:type="pct"/>
            <w:vAlign w:val="center"/>
          </w:tcPr>
          <w:p w14:paraId="42FD9EBE" w14:textId="70BC63E9" w:rsidR="00460AA2" w:rsidRPr="00B56A4D" w:rsidRDefault="00460AA2" w:rsidP="00DC5E09">
            <w:pPr>
              <w:pStyle w:val="TAC"/>
              <w:rPr>
                <w:lang w:eastAsia="fi-FI"/>
              </w:rPr>
            </w:pPr>
            <w:r w:rsidRPr="00DC5E09">
              <w:rPr>
                <w:lang w:val="de-DE" w:eastAsia="fi-FI"/>
              </w:rPr>
              <w:t>DC_48A_n48A</w:t>
            </w:r>
          </w:p>
        </w:tc>
        <w:tc>
          <w:tcPr>
            <w:tcW w:w="1351" w:type="pct"/>
          </w:tcPr>
          <w:p w14:paraId="133DB02E" w14:textId="0651D9C2" w:rsidR="00460AA2" w:rsidRPr="00B56A4D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  <w:tc>
          <w:tcPr>
            <w:tcW w:w="1692" w:type="pct"/>
          </w:tcPr>
          <w:p w14:paraId="342AAAE0" w14:textId="15260BF6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</w:tr>
      <w:tr w:rsidR="00460AA2" w:rsidRPr="00B56A4D" w14:paraId="47BA2623" w14:textId="63EA2D70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259CD4DD" w14:textId="0D1BA18D" w:rsidR="00460AA2" w:rsidRPr="00B56A4D" w:rsidRDefault="00460AA2" w:rsidP="00DC5E09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</w:p>
        </w:tc>
        <w:tc>
          <w:tcPr>
            <w:tcW w:w="839" w:type="pct"/>
          </w:tcPr>
          <w:p w14:paraId="0C9EEB6B" w14:textId="721D7448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lang w:val="de-DE" w:eastAsia="fi-FI"/>
              </w:rPr>
              <w:t>DC_48A_n48A</w:t>
            </w:r>
          </w:p>
        </w:tc>
        <w:tc>
          <w:tcPr>
            <w:tcW w:w="1351" w:type="pct"/>
          </w:tcPr>
          <w:p w14:paraId="13133671" w14:textId="540C57E5" w:rsidR="00460AA2" w:rsidRPr="00B56A4D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fi-FI"/>
              </w:rPr>
              <w:t>non-contiguous</w:t>
            </w:r>
          </w:p>
        </w:tc>
        <w:tc>
          <w:tcPr>
            <w:tcW w:w="1692" w:type="pct"/>
          </w:tcPr>
          <w:p w14:paraId="29DE0844" w14:textId="6FA58DAB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</w:tr>
      <w:tr w:rsidR="00460AA2" w:rsidRPr="00B56A4D" w14:paraId="65AE92BC" w14:textId="45EFE5BB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66657285" w14:textId="781148EE" w:rsidR="00460AA2" w:rsidRPr="00B56A4D" w:rsidRDefault="00460AA2" w:rsidP="00DC5E09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</w:p>
        </w:tc>
        <w:tc>
          <w:tcPr>
            <w:tcW w:w="839" w:type="pct"/>
          </w:tcPr>
          <w:p w14:paraId="5CE74111" w14:textId="6F02E43E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lang w:val="de-DE" w:eastAsia="fi-FI"/>
              </w:rPr>
              <w:t>DC_48A_n48A</w:t>
            </w:r>
          </w:p>
        </w:tc>
        <w:tc>
          <w:tcPr>
            <w:tcW w:w="1351" w:type="pct"/>
          </w:tcPr>
          <w:p w14:paraId="2EB80BEF" w14:textId="7894C2E1" w:rsidR="00460AA2" w:rsidRPr="00B56A4D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fi-FI"/>
              </w:rPr>
              <w:t>non-contiguous</w:t>
            </w:r>
          </w:p>
        </w:tc>
        <w:tc>
          <w:tcPr>
            <w:tcW w:w="1692" w:type="pct"/>
          </w:tcPr>
          <w:p w14:paraId="1F4D0649" w14:textId="3D38C6E4" w:rsidR="00460AA2" w:rsidRDefault="00460AA2" w:rsidP="00DC5E0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non-contiguous</w:t>
            </w:r>
          </w:p>
        </w:tc>
      </w:tr>
      <w:tr w:rsidR="00460AA2" w:rsidRPr="00B56A4D" w14:paraId="7831A971" w14:textId="68F6DFB4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75401800" w14:textId="167EE204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rFonts w:cs="Arial"/>
                <w:lang w:eastAsia="zh-CN"/>
              </w:rPr>
              <w:t>DC_48A_(n)48AA</w:t>
            </w:r>
          </w:p>
        </w:tc>
        <w:tc>
          <w:tcPr>
            <w:tcW w:w="839" w:type="pct"/>
          </w:tcPr>
          <w:p w14:paraId="36E5B2CF" w14:textId="1CB17697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rFonts w:eastAsia="PMingLiU" w:cs="Arial"/>
                <w:lang w:eastAsia="zh-TW"/>
              </w:rPr>
              <w:t>DC_(n)48AA</w:t>
            </w:r>
          </w:p>
        </w:tc>
        <w:tc>
          <w:tcPr>
            <w:tcW w:w="1351" w:type="pct"/>
          </w:tcPr>
          <w:p w14:paraId="25097DF3" w14:textId="0AEDE2D9" w:rsidR="00460AA2" w:rsidRPr="00B56A4D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not present (contiguous)</w:t>
            </w:r>
          </w:p>
        </w:tc>
        <w:tc>
          <w:tcPr>
            <w:tcW w:w="1692" w:type="pct"/>
          </w:tcPr>
          <w:p w14:paraId="61F0FDA4" w14:textId="714B18E9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mixed contiguous and non-contiguous</w:t>
            </w:r>
          </w:p>
        </w:tc>
      </w:tr>
      <w:tr w:rsidR="00460AA2" w:rsidRPr="00B56A4D" w14:paraId="5E80FFB8" w14:textId="753F6314" w:rsidTr="00460AA2">
        <w:trPr>
          <w:trHeight w:val="145"/>
          <w:jc w:val="center"/>
        </w:trPr>
        <w:tc>
          <w:tcPr>
            <w:tcW w:w="1118" w:type="pct"/>
            <w:shd w:val="clear" w:color="auto" w:fill="auto"/>
            <w:noWrap/>
          </w:tcPr>
          <w:p w14:paraId="7CE2DC32" w14:textId="4F2A86E4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rFonts w:cs="Arial"/>
                <w:lang w:eastAsia="zh-CN"/>
              </w:rPr>
              <w:t>DC_48A_(n)48AA</w:t>
            </w:r>
          </w:p>
        </w:tc>
        <w:tc>
          <w:tcPr>
            <w:tcW w:w="839" w:type="pct"/>
          </w:tcPr>
          <w:p w14:paraId="26266D97" w14:textId="2D85A8A1" w:rsidR="00460AA2" w:rsidRPr="00B56A4D" w:rsidRDefault="00460AA2" w:rsidP="00DC5E09">
            <w:pPr>
              <w:pStyle w:val="TAC"/>
              <w:rPr>
                <w:lang w:eastAsia="zh-TW"/>
              </w:rPr>
            </w:pPr>
            <w:r w:rsidRPr="00DC5E09">
              <w:rPr>
                <w:rFonts w:eastAsia="PMingLiU" w:cs="Arial"/>
                <w:lang w:eastAsia="zh-TW"/>
              </w:rPr>
              <w:t>DC_48A_n48A</w:t>
            </w:r>
          </w:p>
        </w:tc>
        <w:tc>
          <w:tcPr>
            <w:tcW w:w="1351" w:type="pct"/>
          </w:tcPr>
          <w:p w14:paraId="2B470469" w14:textId="7BA2ED1F" w:rsidR="00460AA2" w:rsidRPr="00B56A4D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both</w:t>
            </w:r>
          </w:p>
        </w:tc>
        <w:tc>
          <w:tcPr>
            <w:tcW w:w="1692" w:type="pct"/>
          </w:tcPr>
          <w:p w14:paraId="1BC8E2B0" w14:textId="3E916385" w:rsidR="00460AA2" w:rsidRDefault="00460AA2" w:rsidP="00DC5E09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mixed contiguous and non-contiguous</w:t>
            </w:r>
          </w:p>
        </w:tc>
      </w:tr>
    </w:tbl>
    <w:p w14:paraId="02C8B5D0" w14:textId="77777777" w:rsidR="00DC5E09" w:rsidRDefault="00DC5E09" w:rsidP="00D3768A">
      <w:pPr>
        <w:rPr>
          <w:b/>
          <w:bCs/>
          <w:i/>
          <w:iCs/>
        </w:rPr>
      </w:pPr>
    </w:p>
    <w:p w14:paraId="2CCC7856" w14:textId="04A1D7B3" w:rsidR="00541076" w:rsidRDefault="00541076" w:rsidP="00541076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</w:t>
      </w:r>
      <w:r w:rsidRPr="004C196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The existing signalling can be reused if </w:t>
      </w:r>
      <w:r w:rsidRPr="00541076">
        <w:rPr>
          <w:b/>
          <w:bCs/>
          <w:i/>
          <w:iCs/>
        </w:rPr>
        <w:t xml:space="preserve">EN-DC config including a (n) sub-block </w:t>
      </w:r>
      <w:r>
        <w:rPr>
          <w:b/>
          <w:bCs/>
          <w:i/>
          <w:iCs/>
        </w:rPr>
        <w:t xml:space="preserve">in both DL and UL </w:t>
      </w:r>
      <w:r w:rsidRPr="00541076">
        <w:rPr>
          <w:b/>
          <w:bCs/>
          <w:i/>
          <w:iCs/>
        </w:rPr>
        <w:t>is categorized to “contiguous</w:t>
      </w:r>
      <w:r>
        <w:rPr>
          <w:b/>
          <w:bCs/>
          <w:i/>
          <w:iCs/>
        </w:rPr>
        <w:t>”, E</w:t>
      </w:r>
      <w:r w:rsidRPr="00541076">
        <w:rPr>
          <w:b/>
          <w:bCs/>
          <w:i/>
          <w:iCs/>
        </w:rPr>
        <w:t>N-DC config without any (n) sub</w:t>
      </w:r>
      <w:r w:rsidR="004B48A7">
        <w:rPr>
          <w:b/>
          <w:bCs/>
          <w:i/>
          <w:iCs/>
        </w:rPr>
        <w:t>-</w:t>
      </w:r>
      <w:r w:rsidRPr="00541076">
        <w:rPr>
          <w:b/>
          <w:bCs/>
          <w:i/>
          <w:iCs/>
        </w:rPr>
        <w:t>block is categorized to “non-contiguous”</w:t>
      </w:r>
      <w:r>
        <w:rPr>
          <w:b/>
          <w:bCs/>
          <w:i/>
          <w:iCs/>
        </w:rPr>
        <w:t>, “</w:t>
      </w:r>
      <w:r w:rsidRPr="00541076">
        <w:rPr>
          <w:b/>
          <w:bCs/>
          <w:i/>
          <w:iCs/>
        </w:rPr>
        <w:t>EN-DC config including a (n) sub-block in DL and without it in UL is categorized to “both”</w:t>
      </w:r>
    </w:p>
    <w:p w14:paraId="715A59FE" w14:textId="612D6A5A" w:rsidR="00541076" w:rsidRPr="00541076" w:rsidRDefault="00541076" w:rsidP="00541076">
      <w:r w:rsidRPr="00541076">
        <w:t>This require</w:t>
      </w:r>
      <w:r>
        <w:t>s</w:t>
      </w:r>
      <w:r w:rsidRPr="00541076">
        <w:t xml:space="preserve"> some reorganization of EN-DC</w:t>
      </w:r>
      <w:r>
        <w:t xml:space="preserve"> combo by moving some combos to appropriate </w:t>
      </w:r>
      <w:r w:rsidR="004B48A7">
        <w:t>tables</w:t>
      </w:r>
      <w:r>
        <w:t>.</w:t>
      </w:r>
    </w:p>
    <w:p w14:paraId="2DD21339" w14:textId="77777777" w:rsidR="00460AA2" w:rsidRPr="004C196A" w:rsidRDefault="00460AA2" w:rsidP="00460AA2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4C196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It is further discussed if we wait for RAN2 to provide a flexible signalling or indicate RAN2 to implement a CR according to Observation 3.</w:t>
      </w: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453A8B41" w14:textId="1CD1A1AF" w:rsidR="00FE2B7B" w:rsidRDefault="00FE2B7B" w:rsidP="00FE2B7B">
      <w:pPr>
        <w:rPr>
          <w:b/>
          <w:bCs/>
          <w:lang w:val="en-US"/>
        </w:rPr>
      </w:pPr>
      <w:r>
        <w:rPr>
          <w:lang w:val="en-US"/>
        </w:rPr>
        <w:t xml:space="preserve">In this contribution, the issue about the current definition of </w:t>
      </w:r>
      <w:r w:rsidRPr="00FE2B7B">
        <w:rPr>
          <w:lang w:val="en-US"/>
        </w:rPr>
        <w:t>intraBandENDC-Support</w:t>
      </w:r>
      <w:r>
        <w:rPr>
          <w:lang w:val="en-US"/>
        </w:rPr>
        <w:t xml:space="preserve"> is discussed. It is proposed that</w:t>
      </w:r>
    </w:p>
    <w:p w14:paraId="314FD7A0" w14:textId="77777777" w:rsidR="00D3768A" w:rsidRPr="004C196A" w:rsidRDefault="00D3768A" w:rsidP="00D3768A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>Observation 1: Case 3 and Case 4 are needed for the flexibility of CBRS GAA operation.</w:t>
      </w:r>
    </w:p>
    <w:p w14:paraId="7E1370A5" w14:textId="77777777" w:rsidR="00D3768A" w:rsidRPr="004C196A" w:rsidRDefault="00D3768A" w:rsidP="00D3768A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 xml:space="preserve">Proposal 1: Consider </w:t>
      </w:r>
      <w:r>
        <w:rPr>
          <w:b/>
          <w:bCs/>
          <w:i/>
          <w:iCs/>
        </w:rPr>
        <w:t>removing</w:t>
      </w:r>
      <w:r w:rsidRPr="004C196A">
        <w:rPr>
          <w:b/>
          <w:bCs/>
          <w:i/>
          <w:iCs/>
        </w:rPr>
        <w:t xml:space="preserve"> Case 3</w:t>
      </w:r>
      <w:r>
        <w:rPr>
          <w:b/>
          <w:bCs/>
          <w:i/>
          <w:iCs/>
        </w:rPr>
        <w:t xml:space="preserve"> </w:t>
      </w:r>
      <w:r w:rsidRPr="004C196A">
        <w:rPr>
          <w:b/>
          <w:bCs/>
          <w:i/>
          <w:iCs/>
        </w:rPr>
        <w:t>for band 41 and n41</w:t>
      </w:r>
      <w:r>
        <w:rPr>
          <w:b/>
          <w:bCs/>
          <w:i/>
          <w:iCs/>
        </w:rPr>
        <w:t xml:space="preserve"> if no use case is identified.</w:t>
      </w:r>
    </w:p>
    <w:p w14:paraId="6B2BDFD8" w14:textId="77777777" w:rsidR="00460AA2" w:rsidRPr="004C196A" w:rsidRDefault="00460AA2" w:rsidP="00460AA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Fallback is defined to support reduced UE capability signalling for lower order CA/DC and is not restricting Case 3 or Case 4 configuration if there is a demand to support them. </w:t>
      </w:r>
    </w:p>
    <w:p w14:paraId="362915D3" w14:textId="6258D2F4" w:rsidR="00541076" w:rsidRPr="004C196A" w:rsidRDefault="00541076" w:rsidP="00541076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</w:t>
      </w:r>
      <w:r w:rsidRPr="004C196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The existing signalling can be reused if </w:t>
      </w:r>
      <w:r w:rsidRPr="00541076">
        <w:rPr>
          <w:b/>
          <w:bCs/>
          <w:i/>
          <w:iCs/>
        </w:rPr>
        <w:t xml:space="preserve">EN-DC config including a (n) sub-block </w:t>
      </w:r>
      <w:r>
        <w:rPr>
          <w:b/>
          <w:bCs/>
          <w:i/>
          <w:iCs/>
        </w:rPr>
        <w:t xml:space="preserve">in both DL and UL </w:t>
      </w:r>
      <w:r w:rsidRPr="00541076">
        <w:rPr>
          <w:b/>
          <w:bCs/>
          <w:i/>
          <w:iCs/>
        </w:rPr>
        <w:t>is categorized to “contiguous</w:t>
      </w:r>
      <w:r>
        <w:rPr>
          <w:b/>
          <w:bCs/>
          <w:i/>
          <w:iCs/>
        </w:rPr>
        <w:t>”, E</w:t>
      </w:r>
      <w:r w:rsidRPr="00541076">
        <w:rPr>
          <w:b/>
          <w:bCs/>
          <w:i/>
          <w:iCs/>
        </w:rPr>
        <w:t>N-DC config without any (n) sub</w:t>
      </w:r>
      <w:r w:rsidR="004B48A7">
        <w:rPr>
          <w:b/>
          <w:bCs/>
          <w:i/>
          <w:iCs/>
        </w:rPr>
        <w:t>-</w:t>
      </w:r>
      <w:r w:rsidRPr="00541076">
        <w:rPr>
          <w:b/>
          <w:bCs/>
          <w:i/>
          <w:iCs/>
        </w:rPr>
        <w:t>block is categorized to “non-contiguous”</w:t>
      </w:r>
      <w:r>
        <w:rPr>
          <w:b/>
          <w:bCs/>
          <w:i/>
          <w:iCs/>
        </w:rPr>
        <w:t>, “</w:t>
      </w:r>
      <w:r w:rsidRPr="00541076">
        <w:rPr>
          <w:b/>
          <w:bCs/>
          <w:i/>
          <w:iCs/>
        </w:rPr>
        <w:t>EN-DC config including a (n) sub-block in DL and without it in UL is categorized to “both”</w:t>
      </w:r>
    </w:p>
    <w:p w14:paraId="77E8A419" w14:textId="2B5FF2E6" w:rsidR="00D3768A" w:rsidRPr="004C196A" w:rsidRDefault="00D3768A" w:rsidP="00D3768A">
      <w:pPr>
        <w:rPr>
          <w:b/>
          <w:bCs/>
          <w:i/>
          <w:iCs/>
        </w:rPr>
      </w:pPr>
      <w:r w:rsidRPr="004C196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4C196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further discussed if we wait for RAN2 to provide a flexible signalling or indicate RAN2 to implement a CR according to </w:t>
      </w:r>
      <w:r w:rsidR="00541076">
        <w:rPr>
          <w:b/>
          <w:bCs/>
          <w:i/>
          <w:iCs/>
        </w:rPr>
        <w:t>Observation 3</w:t>
      </w:r>
      <w:r>
        <w:rPr>
          <w:b/>
          <w:bCs/>
          <w:i/>
          <w:iCs/>
        </w:rPr>
        <w:t>.</w:t>
      </w:r>
    </w:p>
    <w:p w14:paraId="7CCA002C" w14:textId="77777777" w:rsidR="006623FB" w:rsidRPr="00D3768A" w:rsidRDefault="006623FB" w:rsidP="00AA1B02">
      <w:pPr>
        <w:rPr>
          <w:b/>
          <w:bCs/>
        </w:rPr>
      </w:pPr>
    </w:p>
    <w:p w14:paraId="30894103" w14:textId="61F03ECC" w:rsidR="00DC6358" w:rsidRPr="00DC6358" w:rsidRDefault="00DC6358" w:rsidP="00DA56E9">
      <w:pPr>
        <w:pStyle w:val="Heading1"/>
        <w:tabs>
          <w:tab w:val="left" w:pos="3365"/>
        </w:tabs>
      </w:pPr>
      <w:r>
        <w:lastRenderedPageBreak/>
        <w:t>Reference</w:t>
      </w:r>
      <w:r w:rsidR="00DA56E9">
        <w:tab/>
      </w:r>
    </w:p>
    <w:p w14:paraId="514D8AD0" w14:textId="144690BD" w:rsidR="00DC6358" w:rsidRPr="0055236C" w:rsidRDefault="00FE70CD" w:rsidP="00D6262C">
      <w:r w:rsidRPr="0055236C">
        <w:t xml:space="preserve">[1] </w:t>
      </w:r>
      <w:r w:rsidR="00AD7FE4" w:rsidRPr="0055236C">
        <w:t>R4-1813862</w:t>
      </w:r>
      <w:r w:rsidR="00885C3A" w:rsidRPr="0055236C">
        <w:t xml:space="preserve"> Reply LS on intra-band combination for NR CA and MR-DC</w:t>
      </w:r>
      <w:r w:rsidR="0055236C" w:rsidRPr="0055236C">
        <w:t>, RAN4#88bis</w:t>
      </w:r>
    </w:p>
    <w:p w14:paraId="045CDBC9" w14:textId="1005076A" w:rsidR="00AD7FE4" w:rsidRPr="0055236C" w:rsidRDefault="00AD7FE4" w:rsidP="00D6262C">
      <w:r w:rsidRPr="0055236C">
        <w:t>[2] R2-1818899</w:t>
      </w:r>
      <w:r w:rsidR="0055236C" w:rsidRPr="0055236C">
        <w:t xml:space="preserve"> </w:t>
      </w:r>
      <w:r w:rsidR="0055236C" w:rsidRPr="0055236C">
        <w:rPr>
          <w:noProof/>
        </w:rPr>
        <w:t xml:space="preserve">CR on signaling contiguous and non-contiguous EN-DC capability, </w:t>
      </w:r>
      <w:r w:rsidR="0055236C" w:rsidRPr="0055236C">
        <w:t>RAN2#104</w:t>
      </w:r>
    </w:p>
    <w:p w14:paraId="0E2D8CD3" w14:textId="21D61956" w:rsidR="00AD7FE4" w:rsidRDefault="00AD7FE4" w:rsidP="00D6262C">
      <w:r w:rsidRPr="0055236C">
        <w:t>[3] R2-1902625</w:t>
      </w:r>
      <w:r w:rsidR="0055236C" w:rsidRPr="0055236C">
        <w:t xml:space="preserve"> Miscellaneous corrections, RAN2#105</w:t>
      </w:r>
    </w:p>
    <w:p w14:paraId="2D96AFD7" w14:textId="4B2C3D0C" w:rsidR="00D657CF" w:rsidRDefault="00D657CF" w:rsidP="00D6262C">
      <w:r>
        <w:t xml:space="preserve">[4] </w:t>
      </w:r>
      <w:r w:rsidRPr="00D657CF">
        <w:t>R4-2015089</w:t>
      </w:r>
      <w:r>
        <w:t xml:space="preserve"> </w:t>
      </w:r>
      <w:r w:rsidRPr="00D657CF">
        <w:t>Clarification of intra-bandENDC-Support</w:t>
      </w:r>
      <w:r>
        <w:t>, Nokia, RAN4#97e</w:t>
      </w:r>
    </w:p>
    <w:p w14:paraId="15B7E368" w14:textId="44B2F2CB" w:rsidR="00020389" w:rsidRPr="00EA5B5D" w:rsidRDefault="002D5B14" w:rsidP="00B4538A">
      <w:pPr>
        <w:pStyle w:val="EW"/>
        <w:spacing w:after="240"/>
        <w:ind w:left="0" w:firstLine="0"/>
      </w:pPr>
      <w:r w:rsidRPr="00EA5B5D">
        <w:t>[</w:t>
      </w:r>
      <w:r w:rsidR="008F05E4">
        <w:t>5</w:t>
      </w:r>
      <w:r w:rsidRPr="00EA5B5D">
        <w:t>] R4-2102559 Clarification of intra-bandENDC-Support</w:t>
      </w:r>
      <w:r w:rsidR="00B4538A" w:rsidRPr="00EA5B5D">
        <w:t>, Nokia, Nokia Shanghai Bell, RAN4#98e</w:t>
      </w:r>
    </w:p>
    <w:p w14:paraId="4044832B" w14:textId="04067F5B" w:rsidR="00B4538A" w:rsidRPr="00EA5B5D" w:rsidRDefault="00B4538A" w:rsidP="00B4538A">
      <w:pPr>
        <w:pStyle w:val="EW"/>
        <w:spacing w:after="240"/>
        <w:ind w:left="0" w:firstLine="0"/>
      </w:pPr>
      <w:r w:rsidRPr="00EA5B5D">
        <w:t>[</w:t>
      </w:r>
      <w:r w:rsidR="008F05E4">
        <w:t>6</w:t>
      </w:r>
      <w:r w:rsidRPr="00EA5B5D">
        <w:t>] R4-2102628</w:t>
      </w:r>
      <w:r w:rsidRPr="006623FB">
        <w:t xml:space="preserve"> </w:t>
      </w:r>
      <w:r w:rsidRPr="00EA5B5D">
        <w:t>On UE capability for intra-band ENDC, Huawei, RAN4#98e</w:t>
      </w:r>
    </w:p>
    <w:p w14:paraId="5E995089" w14:textId="0FCF6B6A" w:rsidR="00B4538A" w:rsidRPr="00EA5B5D" w:rsidRDefault="00B4538A" w:rsidP="00B4538A">
      <w:pPr>
        <w:pStyle w:val="EW"/>
        <w:spacing w:after="240"/>
        <w:ind w:left="0" w:firstLine="0"/>
      </w:pPr>
      <w:r w:rsidRPr="00EA5B5D">
        <w:t>[</w:t>
      </w:r>
      <w:r w:rsidR="008F05E4">
        <w:t>7</w:t>
      </w:r>
      <w:r w:rsidRPr="00EA5B5D">
        <w:t>] R4-2103130 WF on UE capability on intraBandENDC-Support, Huawei, RAN4#98e</w:t>
      </w:r>
    </w:p>
    <w:p w14:paraId="1D2880FB" w14:textId="3A7E4414" w:rsidR="00020389" w:rsidRDefault="00020389" w:rsidP="00E56395">
      <w:pPr>
        <w:pStyle w:val="EW"/>
        <w:spacing w:after="240"/>
        <w:ind w:left="0" w:firstLine="0"/>
      </w:pPr>
      <w:r w:rsidRPr="00EA5B5D">
        <w:t>[</w:t>
      </w:r>
      <w:r w:rsidR="008F05E4">
        <w:t>8</w:t>
      </w:r>
      <w:r w:rsidRPr="00EA5B5D">
        <w:t>] RP-210640 Clarifications on intra-band contiguous and non-contiguous EN-DC combinations, Apple Inc.</w:t>
      </w:r>
      <w:r w:rsidR="00B4538A" w:rsidRPr="00EA5B5D">
        <w:t>, RAN#91e</w:t>
      </w:r>
    </w:p>
    <w:p w14:paraId="7780C4FB" w14:textId="1EF31985" w:rsidR="004C196A" w:rsidRDefault="00C476CF" w:rsidP="00E56395">
      <w:pPr>
        <w:pStyle w:val="EW"/>
        <w:spacing w:after="240"/>
        <w:ind w:left="0" w:firstLine="0"/>
      </w:pPr>
      <w:r>
        <w:t xml:space="preserve">[9] </w:t>
      </w:r>
      <w:r w:rsidR="004C196A" w:rsidRPr="004C196A">
        <w:t>R4-2114890</w:t>
      </w:r>
      <w:r w:rsidR="00235620">
        <w:t xml:space="preserve"> </w:t>
      </w:r>
      <w:r w:rsidR="004C196A" w:rsidRPr="004C196A">
        <w:t>WF on intraBandENDC-support</w:t>
      </w:r>
      <w:r>
        <w:t>, Nokia, RAN4#100e</w:t>
      </w:r>
    </w:p>
    <w:p w14:paraId="3FCA6799" w14:textId="4C5FC343" w:rsidR="00235620" w:rsidRDefault="00235620" w:rsidP="00E56395">
      <w:pPr>
        <w:pStyle w:val="EW"/>
        <w:spacing w:after="240"/>
        <w:ind w:left="0" w:firstLine="0"/>
      </w:pPr>
      <w:r>
        <w:t xml:space="preserve">[10] </w:t>
      </w:r>
      <w:r w:rsidRPr="00235620">
        <w:t>R4-2115092</w:t>
      </w:r>
      <w:r>
        <w:t xml:space="preserve"> </w:t>
      </w:r>
      <w:r w:rsidRPr="00235620">
        <w:t>Correction to band combinations for intra-band EN-DC</w:t>
      </w:r>
      <w:r>
        <w:t>, Ericsson, Nokia, RAN4#100e</w:t>
      </w:r>
    </w:p>
    <w:p w14:paraId="26C3C6A3" w14:textId="3789C5AA" w:rsidR="00DC6358" w:rsidRPr="00DC6358" w:rsidRDefault="00BA3D2B" w:rsidP="00BA3D2B">
      <w:pPr>
        <w:tabs>
          <w:tab w:val="left" w:pos="4820"/>
        </w:tabs>
        <w:snapToGrid w:val="0"/>
        <w:spacing w:after="60"/>
        <w:rPr>
          <w:color w:val="FF0000"/>
        </w:rPr>
      </w:pPr>
      <w:r w:rsidRPr="00BA3D2B">
        <w:t>[</w:t>
      </w:r>
      <w:r w:rsidR="0074224E">
        <w:t>11</w:t>
      </w:r>
      <w:r w:rsidRPr="00BA3D2B">
        <w:t>] R4-221</w:t>
      </w:r>
      <w:r w:rsidR="0074224E">
        <w:t>4967</w:t>
      </w:r>
      <w:r>
        <w:t xml:space="preserve"> </w:t>
      </w:r>
      <w:r w:rsidRPr="00BA3D2B">
        <w:t>Draft CR for 38.101-3 Rel-16 to correct band combination for intra-band ENDC, Xiaomi, RAN4#104e</w:t>
      </w:r>
      <w:r w:rsidR="00020389" w:rsidRPr="00020389">
        <w:rPr>
          <w:color w:val="FF0000"/>
        </w:rPr>
        <w:tab/>
      </w:r>
    </w:p>
    <w:p w14:paraId="273CB524" w14:textId="28C266B1" w:rsidR="00080512" w:rsidRDefault="00593AD0">
      <w:r>
        <w:t>[</w:t>
      </w:r>
      <w:r w:rsidR="0074224E">
        <w:t>12</w:t>
      </w:r>
      <w:r>
        <w:t xml:space="preserve">] </w:t>
      </w:r>
      <w:r w:rsidR="004226CF" w:rsidRPr="004226CF">
        <w:t>RP-222646</w:t>
      </w:r>
      <w:r w:rsidR="004226CF">
        <w:t xml:space="preserve"> </w:t>
      </w:r>
      <w:r w:rsidR="004226CF" w:rsidRPr="004226CF">
        <w:t>Discussion on intra-band EN-DC combination</w:t>
      </w:r>
      <w:r w:rsidR="004226CF">
        <w:t xml:space="preserve">, </w:t>
      </w:r>
      <w:r w:rsidR="004226CF" w:rsidRPr="004226CF">
        <w:t>Huawei, HiSilicon</w:t>
      </w:r>
      <w:r w:rsidR="004226CF">
        <w:t>, RAN#97e</w:t>
      </w:r>
    </w:p>
    <w:p w14:paraId="310C71DA" w14:textId="72415591" w:rsidR="004226CF" w:rsidRDefault="00593AD0">
      <w:r>
        <w:t>[</w:t>
      </w:r>
      <w:r w:rsidR="0074224E">
        <w:t>13</w:t>
      </w:r>
      <w:r>
        <w:t xml:space="preserve">] </w:t>
      </w:r>
      <w:r w:rsidR="004226CF" w:rsidRPr="004226CF">
        <w:t>RP-222594</w:t>
      </w:r>
      <w:r w:rsidR="004226CF">
        <w:t xml:space="preserve"> </w:t>
      </w:r>
      <w:r w:rsidR="004226CF" w:rsidRPr="004226CF">
        <w:t>Moderator's summary for discussion [97e-34-IntraBand-ENDC-Comb]</w:t>
      </w:r>
      <w:r w:rsidR="004226CF">
        <w:t>, RAN#97e</w:t>
      </w:r>
    </w:p>
    <w:p w14:paraId="4F7C85C6" w14:textId="1CE686FA" w:rsidR="00EC7852" w:rsidRDefault="00EC7852">
      <w:r>
        <w:t xml:space="preserve">[14] </w:t>
      </w:r>
      <w:r w:rsidRPr="00EC7852">
        <w:t>R4-2212581</w:t>
      </w:r>
      <w:r>
        <w:t xml:space="preserve"> </w:t>
      </w:r>
      <w:r w:rsidRPr="00EC7852">
        <w:t>Discussion on intrabandENDC-Support</w:t>
      </w:r>
      <w:r>
        <w:t xml:space="preserve">, </w:t>
      </w:r>
      <w:r w:rsidRPr="00EC7852">
        <w:t>Xiaomi</w:t>
      </w:r>
      <w:r>
        <w:t xml:space="preserve">, </w:t>
      </w:r>
      <w:r w:rsidRPr="00BA3D2B">
        <w:t>RAN4#104e</w:t>
      </w:r>
    </w:p>
    <w:p w14:paraId="5194B57C" w14:textId="6349AFB4" w:rsidR="00EC7852" w:rsidRDefault="00EC7852">
      <w:r>
        <w:t xml:space="preserve">[15] </w:t>
      </w:r>
      <w:r w:rsidRPr="00EC7852">
        <w:t>R4-2212850</w:t>
      </w:r>
      <w:r>
        <w:t xml:space="preserve"> </w:t>
      </w:r>
      <w:r w:rsidRPr="00EC7852">
        <w:t>Discussion on Intra-Band EN-DC support</w:t>
      </w:r>
      <w:r>
        <w:t xml:space="preserve">, Google, </w:t>
      </w:r>
      <w:r w:rsidRPr="00BA3D2B">
        <w:t>RAN4#104e</w:t>
      </w:r>
    </w:p>
    <w:sectPr w:rsidR="00EC785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B6732" w14:textId="77777777" w:rsidR="00C61BAF" w:rsidRDefault="00C61BAF">
      <w:r>
        <w:separator/>
      </w:r>
    </w:p>
  </w:endnote>
  <w:endnote w:type="continuationSeparator" w:id="0">
    <w:p w14:paraId="23AC8DBE" w14:textId="77777777" w:rsidR="00C61BAF" w:rsidRDefault="00C6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A2BB" w14:textId="77777777" w:rsidR="00C61BAF" w:rsidRDefault="00C61BAF">
      <w:r>
        <w:separator/>
      </w:r>
    </w:p>
  </w:footnote>
  <w:footnote w:type="continuationSeparator" w:id="0">
    <w:p w14:paraId="1ABEF5F7" w14:textId="77777777" w:rsidR="00C61BAF" w:rsidRDefault="00C61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1CF"/>
    <w:multiLevelType w:val="hybridMultilevel"/>
    <w:tmpl w:val="B6BCC280"/>
    <w:lvl w:ilvl="0" w:tplc="51F6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48C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A8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6A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C4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2F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4A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EB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CB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BD01F5C"/>
    <w:multiLevelType w:val="hybridMultilevel"/>
    <w:tmpl w:val="63F06C64"/>
    <w:lvl w:ilvl="0" w:tplc="55B6B64E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610DF"/>
    <w:multiLevelType w:val="hybridMultilevel"/>
    <w:tmpl w:val="C83AEF98"/>
    <w:lvl w:ilvl="0" w:tplc="4FF040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3491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CCD5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7C17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BAFA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06BD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E0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22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073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D9741C4"/>
    <w:multiLevelType w:val="hybridMultilevel"/>
    <w:tmpl w:val="61F45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F04D4"/>
    <w:multiLevelType w:val="hybridMultilevel"/>
    <w:tmpl w:val="F19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00DD5"/>
    <w:multiLevelType w:val="hybridMultilevel"/>
    <w:tmpl w:val="CFDE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12"/>
  </w:num>
  <w:num w:numId="10">
    <w:abstractNumId w:val="15"/>
  </w:num>
  <w:num w:numId="11">
    <w:abstractNumId w:val="22"/>
  </w:num>
  <w:num w:numId="12">
    <w:abstractNumId w:val="4"/>
  </w:num>
  <w:num w:numId="13">
    <w:abstractNumId w:val="24"/>
  </w:num>
  <w:num w:numId="14">
    <w:abstractNumId w:val="6"/>
  </w:num>
  <w:num w:numId="15">
    <w:abstractNumId w:val="14"/>
  </w:num>
  <w:num w:numId="16">
    <w:abstractNumId w:val="25"/>
  </w:num>
  <w:num w:numId="17">
    <w:abstractNumId w:val="13"/>
  </w:num>
  <w:num w:numId="18">
    <w:abstractNumId w:val="2"/>
  </w:num>
  <w:num w:numId="19">
    <w:abstractNumId w:val="17"/>
  </w:num>
  <w:num w:numId="20">
    <w:abstractNumId w:val="11"/>
  </w:num>
  <w:num w:numId="21">
    <w:abstractNumId w:val="3"/>
  </w:num>
  <w:num w:numId="22">
    <w:abstractNumId w:val="9"/>
  </w:num>
  <w:num w:numId="23">
    <w:abstractNumId w:val="19"/>
  </w:num>
  <w:num w:numId="24">
    <w:abstractNumId w:val="7"/>
  </w:num>
  <w:num w:numId="25">
    <w:abstractNumId w:val="26"/>
  </w:num>
  <w:num w:numId="26">
    <w:abstractNumId w:val="21"/>
  </w:num>
  <w:num w:numId="27">
    <w:abstractNumId w:val="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294"/>
    <w:rsid w:val="0001395C"/>
    <w:rsid w:val="00020389"/>
    <w:rsid w:val="00033397"/>
    <w:rsid w:val="00040095"/>
    <w:rsid w:val="00040F5D"/>
    <w:rsid w:val="00051834"/>
    <w:rsid w:val="00051E16"/>
    <w:rsid w:val="00054A22"/>
    <w:rsid w:val="00062023"/>
    <w:rsid w:val="000655A6"/>
    <w:rsid w:val="00080512"/>
    <w:rsid w:val="000863E1"/>
    <w:rsid w:val="00095861"/>
    <w:rsid w:val="000B7DB1"/>
    <w:rsid w:val="000C47C3"/>
    <w:rsid w:val="000D58AB"/>
    <w:rsid w:val="000E59D0"/>
    <w:rsid w:val="00113DFC"/>
    <w:rsid w:val="001235ED"/>
    <w:rsid w:val="00133525"/>
    <w:rsid w:val="001448C5"/>
    <w:rsid w:val="001561B1"/>
    <w:rsid w:val="00176B2B"/>
    <w:rsid w:val="001A223B"/>
    <w:rsid w:val="001A4C42"/>
    <w:rsid w:val="001A7420"/>
    <w:rsid w:val="001B6637"/>
    <w:rsid w:val="001C21C3"/>
    <w:rsid w:val="001D02C2"/>
    <w:rsid w:val="001E3098"/>
    <w:rsid w:val="001E7A18"/>
    <w:rsid w:val="001F0C1D"/>
    <w:rsid w:val="001F1132"/>
    <w:rsid w:val="001F168B"/>
    <w:rsid w:val="00213429"/>
    <w:rsid w:val="0021588F"/>
    <w:rsid w:val="002347A2"/>
    <w:rsid w:val="00235620"/>
    <w:rsid w:val="00247BF6"/>
    <w:rsid w:val="002675F0"/>
    <w:rsid w:val="00292BEE"/>
    <w:rsid w:val="002A2F73"/>
    <w:rsid w:val="002A4AC9"/>
    <w:rsid w:val="002B5578"/>
    <w:rsid w:val="002B6339"/>
    <w:rsid w:val="002C208A"/>
    <w:rsid w:val="002C432C"/>
    <w:rsid w:val="002D393E"/>
    <w:rsid w:val="002D5B14"/>
    <w:rsid w:val="002E00EE"/>
    <w:rsid w:val="002F6C2A"/>
    <w:rsid w:val="003172DC"/>
    <w:rsid w:val="00323359"/>
    <w:rsid w:val="00326A20"/>
    <w:rsid w:val="00337112"/>
    <w:rsid w:val="00345C0E"/>
    <w:rsid w:val="00350AE3"/>
    <w:rsid w:val="0035462D"/>
    <w:rsid w:val="00374DBF"/>
    <w:rsid w:val="003765B8"/>
    <w:rsid w:val="0039735C"/>
    <w:rsid w:val="003A4C2F"/>
    <w:rsid w:val="003C2B65"/>
    <w:rsid w:val="003C3971"/>
    <w:rsid w:val="003D254C"/>
    <w:rsid w:val="003E6C12"/>
    <w:rsid w:val="003F6C11"/>
    <w:rsid w:val="00407B18"/>
    <w:rsid w:val="00414B97"/>
    <w:rsid w:val="0042071B"/>
    <w:rsid w:val="0042085E"/>
    <w:rsid w:val="004225D7"/>
    <w:rsid w:val="004226CF"/>
    <w:rsid w:val="00423334"/>
    <w:rsid w:val="00424DE3"/>
    <w:rsid w:val="004345EC"/>
    <w:rsid w:val="00444068"/>
    <w:rsid w:val="00446662"/>
    <w:rsid w:val="004503DF"/>
    <w:rsid w:val="00460AA2"/>
    <w:rsid w:val="00465515"/>
    <w:rsid w:val="00492286"/>
    <w:rsid w:val="004A2BFF"/>
    <w:rsid w:val="004B3DDD"/>
    <w:rsid w:val="004B48A7"/>
    <w:rsid w:val="004C196A"/>
    <w:rsid w:val="004C41FA"/>
    <w:rsid w:val="004C7B3F"/>
    <w:rsid w:val="004D3578"/>
    <w:rsid w:val="004D7480"/>
    <w:rsid w:val="004E213A"/>
    <w:rsid w:val="004F0988"/>
    <w:rsid w:val="004F3340"/>
    <w:rsid w:val="004F79C0"/>
    <w:rsid w:val="005064BD"/>
    <w:rsid w:val="0053388B"/>
    <w:rsid w:val="00535773"/>
    <w:rsid w:val="00541076"/>
    <w:rsid w:val="00543E6C"/>
    <w:rsid w:val="0055236C"/>
    <w:rsid w:val="00565087"/>
    <w:rsid w:val="00574E6D"/>
    <w:rsid w:val="00593AD0"/>
    <w:rsid w:val="00597B11"/>
    <w:rsid w:val="005A6745"/>
    <w:rsid w:val="005D2C36"/>
    <w:rsid w:val="005D2E01"/>
    <w:rsid w:val="005D61F1"/>
    <w:rsid w:val="005D7526"/>
    <w:rsid w:val="005E2034"/>
    <w:rsid w:val="005E4BB2"/>
    <w:rsid w:val="005E55B1"/>
    <w:rsid w:val="005E6F5E"/>
    <w:rsid w:val="005F1372"/>
    <w:rsid w:val="00602AEA"/>
    <w:rsid w:val="00602B6F"/>
    <w:rsid w:val="00614FDF"/>
    <w:rsid w:val="00630334"/>
    <w:rsid w:val="0063543D"/>
    <w:rsid w:val="00637DB7"/>
    <w:rsid w:val="00647114"/>
    <w:rsid w:val="006623FB"/>
    <w:rsid w:val="0066613A"/>
    <w:rsid w:val="0067040A"/>
    <w:rsid w:val="006A323F"/>
    <w:rsid w:val="006B24DD"/>
    <w:rsid w:val="006B30D0"/>
    <w:rsid w:val="006C3D95"/>
    <w:rsid w:val="006E3752"/>
    <w:rsid w:val="006E5C86"/>
    <w:rsid w:val="006F0BF4"/>
    <w:rsid w:val="00701116"/>
    <w:rsid w:val="007047EB"/>
    <w:rsid w:val="00713C44"/>
    <w:rsid w:val="007140E1"/>
    <w:rsid w:val="00715DE4"/>
    <w:rsid w:val="00720B01"/>
    <w:rsid w:val="007342EE"/>
    <w:rsid w:val="00734A5B"/>
    <w:rsid w:val="0074026F"/>
    <w:rsid w:val="0074224E"/>
    <w:rsid w:val="007429F6"/>
    <w:rsid w:val="00744E76"/>
    <w:rsid w:val="00774DA4"/>
    <w:rsid w:val="00781F0F"/>
    <w:rsid w:val="007A0B69"/>
    <w:rsid w:val="007A4C0C"/>
    <w:rsid w:val="007B600E"/>
    <w:rsid w:val="007F0F4A"/>
    <w:rsid w:val="007F53E6"/>
    <w:rsid w:val="008028A4"/>
    <w:rsid w:val="00804484"/>
    <w:rsid w:val="00811C1A"/>
    <w:rsid w:val="00812CC2"/>
    <w:rsid w:val="00830747"/>
    <w:rsid w:val="008621A2"/>
    <w:rsid w:val="008768CA"/>
    <w:rsid w:val="008803A9"/>
    <w:rsid w:val="00881E0F"/>
    <w:rsid w:val="00885C3A"/>
    <w:rsid w:val="00885D62"/>
    <w:rsid w:val="00890017"/>
    <w:rsid w:val="00895378"/>
    <w:rsid w:val="008A3EC7"/>
    <w:rsid w:val="008A68CE"/>
    <w:rsid w:val="008C384C"/>
    <w:rsid w:val="008F05E4"/>
    <w:rsid w:val="0090271F"/>
    <w:rsid w:val="00902E23"/>
    <w:rsid w:val="009030B3"/>
    <w:rsid w:val="00907485"/>
    <w:rsid w:val="00910850"/>
    <w:rsid w:val="009114D7"/>
    <w:rsid w:val="0091348E"/>
    <w:rsid w:val="00917CCB"/>
    <w:rsid w:val="00942EC2"/>
    <w:rsid w:val="00957086"/>
    <w:rsid w:val="00967ED7"/>
    <w:rsid w:val="00997F99"/>
    <w:rsid w:val="009B52AD"/>
    <w:rsid w:val="009E7D52"/>
    <w:rsid w:val="009F0B8F"/>
    <w:rsid w:val="009F37B7"/>
    <w:rsid w:val="009F4274"/>
    <w:rsid w:val="009F727C"/>
    <w:rsid w:val="00A10F02"/>
    <w:rsid w:val="00A164B4"/>
    <w:rsid w:val="00A26956"/>
    <w:rsid w:val="00A27486"/>
    <w:rsid w:val="00A3356D"/>
    <w:rsid w:val="00A346D0"/>
    <w:rsid w:val="00A35952"/>
    <w:rsid w:val="00A403D7"/>
    <w:rsid w:val="00A53685"/>
    <w:rsid w:val="00A53724"/>
    <w:rsid w:val="00A54C5F"/>
    <w:rsid w:val="00A56066"/>
    <w:rsid w:val="00A57024"/>
    <w:rsid w:val="00A62418"/>
    <w:rsid w:val="00A73129"/>
    <w:rsid w:val="00A800BD"/>
    <w:rsid w:val="00A82346"/>
    <w:rsid w:val="00A85484"/>
    <w:rsid w:val="00A8582A"/>
    <w:rsid w:val="00A92BA1"/>
    <w:rsid w:val="00A95A42"/>
    <w:rsid w:val="00AA1006"/>
    <w:rsid w:val="00AA1B02"/>
    <w:rsid w:val="00AA3815"/>
    <w:rsid w:val="00AB1F18"/>
    <w:rsid w:val="00AC6BC6"/>
    <w:rsid w:val="00AC7AC4"/>
    <w:rsid w:val="00AD7FE4"/>
    <w:rsid w:val="00AE65E2"/>
    <w:rsid w:val="00AF4ECD"/>
    <w:rsid w:val="00B07067"/>
    <w:rsid w:val="00B15449"/>
    <w:rsid w:val="00B16E41"/>
    <w:rsid w:val="00B34AFE"/>
    <w:rsid w:val="00B35E18"/>
    <w:rsid w:val="00B4538A"/>
    <w:rsid w:val="00B62C25"/>
    <w:rsid w:val="00B80FB4"/>
    <w:rsid w:val="00B83F04"/>
    <w:rsid w:val="00B93086"/>
    <w:rsid w:val="00BA19ED"/>
    <w:rsid w:val="00BA2EDA"/>
    <w:rsid w:val="00BA3D2B"/>
    <w:rsid w:val="00BA4B8D"/>
    <w:rsid w:val="00BB0033"/>
    <w:rsid w:val="00BB0979"/>
    <w:rsid w:val="00BB313E"/>
    <w:rsid w:val="00BC0F7D"/>
    <w:rsid w:val="00BD7D31"/>
    <w:rsid w:val="00BE2A50"/>
    <w:rsid w:val="00BE3255"/>
    <w:rsid w:val="00BF128E"/>
    <w:rsid w:val="00C074DD"/>
    <w:rsid w:val="00C07AA4"/>
    <w:rsid w:val="00C1496A"/>
    <w:rsid w:val="00C14B06"/>
    <w:rsid w:val="00C21352"/>
    <w:rsid w:val="00C33079"/>
    <w:rsid w:val="00C34CFC"/>
    <w:rsid w:val="00C45231"/>
    <w:rsid w:val="00C476CF"/>
    <w:rsid w:val="00C60FE6"/>
    <w:rsid w:val="00C61BAF"/>
    <w:rsid w:val="00C72833"/>
    <w:rsid w:val="00C80F1D"/>
    <w:rsid w:val="00C93F40"/>
    <w:rsid w:val="00C955EA"/>
    <w:rsid w:val="00CA1522"/>
    <w:rsid w:val="00CA3D0C"/>
    <w:rsid w:val="00CA4918"/>
    <w:rsid w:val="00CE14CA"/>
    <w:rsid w:val="00CE454D"/>
    <w:rsid w:val="00CF3F9C"/>
    <w:rsid w:val="00CF6B78"/>
    <w:rsid w:val="00D10581"/>
    <w:rsid w:val="00D1357F"/>
    <w:rsid w:val="00D27BA9"/>
    <w:rsid w:val="00D3768A"/>
    <w:rsid w:val="00D473F8"/>
    <w:rsid w:val="00D479B3"/>
    <w:rsid w:val="00D57972"/>
    <w:rsid w:val="00D57E7C"/>
    <w:rsid w:val="00D6262C"/>
    <w:rsid w:val="00D657CF"/>
    <w:rsid w:val="00D675A9"/>
    <w:rsid w:val="00D738D6"/>
    <w:rsid w:val="00D755EB"/>
    <w:rsid w:val="00D76048"/>
    <w:rsid w:val="00D873C6"/>
    <w:rsid w:val="00D87E00"/>
    <w:rsid w:val="00D9134D"/>
    <w:rsid w:val="00DA56E9"/>
    <w:rsid w:val="00DA7A03"/>
    <w:rsid w:val="00DB1818"/>
    <w:rsid w:val="00DB64A4"/>
    <w:rsid w:val="00DC309B"/>
    <w:rsid w:val="00DC4DA2"/>
    <w:rsid w:val="00DC5E09"/>
    <w:rsid w:val="00DC6358"/>
    <w:rsid w:val="00DD4C17"/>
    <w:rsid w:val="00DD74A5"/>
    <w:rsid w:val="00DE33F0"/>
    <w:rsid w:val="00DF2B1F"/>
    <w:rsid w:val="00DF62CD"/>
    <w:rsid w:val="00E16509"/>
    <w:rsid w:val="00E35F95"/>
    <w:rsid w:val="00E44582"/>
    <w:rsid w:val="00E56395"/>
    <w:rsid w:val="00E71149"/>
    <w:rsid w:val="00E77645"/>
    <w:rsid w:val="00EA15B0"/>
    <w:rsid w:val="00EA5B5D"/>
    <w:rsid w:val="00EA5EA7"/>
    <w:rsid w:val="00EB02FA"/>
    <w:rsid w:val="00EB4C9B"/>
    <w:rsid w:val="00EC4A25"/>
    <w:rsid w:val="00EC7852"/>
    <w:rsid w:val="00ED4DBE"/>
    <w:rsid w:val="00EE4C73"/>
    <w:rsid w:val="00F025A2"/>
    <w:rsid w:val="00F04712"/>
    <w:rsid w:val="00F0797B"/>
    <w:rsid w:val="00F13360"/>
    <w:rsid w:val="00F22EC7"/>
    <w:rsid w:val="00F305AD"/>
    <w:rsid w:val="00F31F83"/>
    <w:rsid w:val="00F325C8"/>
    <w:rsid w:val="00F45E29"/>
    <w:rsid w:val="00F653B8"/>
    <w:rsid w:val="00F66D33"/>
    <w:rsid w:val="00F677D7"/>
    <w:rsid w:val="00F8265A"/>
    <w:rsid w:val="00F9008D"/>
    <w:rsid w:val="00FA1266"/>
    <w:rsid w:val="00FC1192"/>
    <w:rsid w:val="00FC3951"/>
    <w:rsid w:val="00FC6061"/>
    <w:rsid w:val="00FC727E"/>
    <w:rsid w:val="00FE2B7B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FE70CD"/>
    <w:pPr>
      <w:ind w:left="720"/>
      <w:contextualSpacing/>
    </w:pPr>
  </w:style>
  <w:style w:type="character" w:customStyle="1" w:styleId="TALCar">
    <w:name w:val="TAL Car"/>
    <w:basedOn w:val="DefaultParagraphFont"/>
    <w:link w:val="TAL"/>
    <w:locked/>
    <w:rsid w:val="00F8265A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811C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6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4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9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2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80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43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17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E3E6D-3F45-44C3-912C-0D87FCB30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4</Pages>
  <Words>1600</Words>
  <Characters>9126</Characters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LinksUpToDate>false</LinksUpToDate>
  <CharactersWithSpaces>10705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2022-09-26T11:50:00Z</dcterms:created>
  <dcterms:modified xsi:type="dcterms:W3CDTF">2022-09-30T13:54:00Z</dcterms:modified>
</cp:coreProperties>
</file>